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D76ED">
      <w:pPr>
        <w:pStyle w:val="3"/>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rPr>
      </w:pPr>
      <w:bookmarkStart w:id="0" w:name="_Toc25069"/>
      <w:r>
        <w:rPr>
          <w:rFonts w:hint="eastAsia" w:ascii="方正小标宋简体" w:hAnsi="方正小标宋简体" w:eastAsia="方正小标宋简体" w:cs="方正小标宋简体"/>
        </w:rPr>
        <w:t>关于提交</w:t>
      </w:r>
      <w:r>
        <w:rPr>
          <w:rFonts w:hint="eastAsia" w:ascii="方正小标宋简体" w:hAnsi="方正小标宋简体" w:eastAsia="方正小标宋简体" w:cs="方正小标宋简体"/>
          <w:color w:val="FF0000"/>
        </w:rPr>
        <w:t>xxx基金（暂定名）</w:t>
      </w:r>
      <w:bookmarkEnd w:id="0"/>
    </w:p>
    <w:p w14:paraId="25B2AF0A">
      <w:pPr>
        <w:pStyle w:val="3"/>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rPr>
      </w:pPr>
      <w:bookmarkStart w:id="1" w:name="_Toc15481"/>
      <w:r>
        <w:rPr>
          <w:rFonts w:hint="eastAsia" w:ascii="方正小标宋简体" w:hAnsi="方正小标宋简体" w:eastAsia="方正小标宋简体" w:cs="方正小标宋简体"/>
        </w:rPr>
        <w:t>设立方案的函</w:t>
      </w:r>
      <w:bookmarkEnd w:id="1"/>
    </w:p>
    <w:p w14:paraId="5F0ED5D5">
      <w:pPr>
        <w:keepNext w:val="0"/>
        <w:keepLines w:val="0"/>
        <w:pageBreakBefore w:val="0"/>
        <w:widowControl w:val="0"/>
        <w:kinsoku/>
        <w:overflowPunct/>
        <w:topLinePunct w:val="0"/>
        <w:autoSpaceDE/>
        <w:autoSpaceDN/>
        <w:bidi w:val="0"/>
        <w:adjustRightInd/>
        <w:snapToGrid/>
        <w:spacing w:line="600" w:lineRule="exact"/>
        <w:ind w:left="0" w:leftChars="0" w:firstLine="883" w:firstLineChars="200"/>
        <w:jc w:val="center"/>
        <w:textAlignment w:val="auto"/>
        <w:rPr>
          <w:rFonts w:ascii="宋体" w:hAnsi="宋体" w:cs="宋体"/>
          <w:b/>
          <w:bCs/>
          <w:sz w:val="44"/>
          <w:szCs w:val="52"/>
        </w:rPr>
      </w:pPr>
    </w:p>
    <w:p w14:paraId="61EC412C">
      <w:pPr>
        <w:keepNext w:val="0"/>
        <w:keepLines w:val="0"/>
        <w:pageBreakBefore w:val="0"/>
        <w:widowControl w:val="0"/>
        <w:kinsoku/>
        <w:overflowPunct/>
        <w:topLinePunct w:val="0"/>
        <w:autoSpaceDE/>
        <w:autoSpaceDN/>
        <w:bidi w:val="0"/>
        <w:adjustRightInd/>
        <w:snapToGrid/>
        <w:spacing w:line="600" w:lineRule="exact"/>
        <w:textAlignment w:val="auto"/>
        <w:rPr>
          <w:rFonts w:ascii="仿宋_GB2312" w:hAnsi="仿宋_GB2312" w:eastAsia="仿宋_GB2312" w:cs="仿宋_GB2312"/>
          <w:sz w:val="32"/>
          <w:szCs w:val="40"/>
        </w:rPr>
      </w:pPr>
      <w:r>
        <w:rPr>
          <w:rFonts w:hint="eastAsia" w:ascii="仿宋_GB2312" w:hAnsi="仿宋_GB2312" w:cs="仿宋_GB2312"/>
          <w:sz w:val="32"/>
          <w:szCs w:val="40"/>
          <w:lang w:eastAsia="zh-CN"/>
        </w:rPr>
        <w:t>保定市产业引导发展集团有限公司</w:t>
      </w:r>
      <w:r>
        <w:rPr>
          <w:rFonts w:hint="eastAsia" w:ascii="仿宋_GB2312" w:hAnsi="仿宋_GB2312" w:eastAsia="仿宋_GB2312" w:cs="仿宋_GB2312"/>
          <w:sz w:val="32"/>
          <w:szCs w:val="40"/>
        </w:rPr>
        <w:t>：</w:t>
      </w:r>
    </w:p>
    <w:p w14:paraId="27A1FC4A">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40"/>
        </w:rPr>
      </w:pPr>
      <w:r>
        <w:rPr>
          <w:rFonts w:hint="eastAsia" w:ascii="仿宋_GB2312" w:hAnsi="仿宋_GB2312" w:eastAsia="仿宋_GB2312" w:cs="仿宋_GB2312"/>
          <w:sz w:val="32"/>
          <w:szCs w:val="40"/>
        </w:rPr>
        <w:t>我公司就</w:t>
      </w:r>
      <w:r>
        <w:rPr>
          <w:rFonts w:hint="eastAsia" w:ascii="仿宋_GB2312" w:hAnsi="仿宋_GB2312" w:eastAsia="仿宋_GB2312" w:cs="仿宋_GB2312"/>
          <w:color w:val="FF0000"/>
          <w:sz w:val="32"/>
          <w:szCs w:val="40"/>
        </w:rPr>
        <w:t>《xxx基金（暂定名）设立方案》</w:t>
      </w:r>
      <w:r>
        <w:rPr>
          <w:rFonts w:hint="eastAsia" w:ascii="仿宋_GB2312" w:hAnsi="仿宋_GB2312" w:eastAsia="仿宋_GB2312" w:cs="仿宋_GB2312"/>
          <w:sz w:val="32"/>
          <w:szCs w:val="40"/>
        </w:rPr>
        <w:t>（见附件）已与各出资方充分沟通，并达成一致意见，相关核心条款将列入《合伙协议》内容。</w:t>
      </w:r>
    </w:p>
    <w:p w14:paraId="5E750EFB">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40"/>
        </w:rPr>
      </w:pPr>
    </w:p>
    <w:p w14:paraId="6FB87759">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40"/>
        </w:rPr>
      </w:pPr>
      <w:r>
        <w:rPr>
          <w:rFonts w:hint="eastAsia" w:ascii="仿宋_GB2312" w:hAnsi="仿宋_GB2312" w:eastAsia="仿宋_GB2312" w:cs="仿宋_GB2312"/>
          <w:sz w:val="32"/>
          <w:szCs w:val="40"/>
        </w:rPr>
        <w:t>附件：</w:t>
      </w:r>
      <w:r>
        <w:rPr>
          <w:rFonts w:hint="eastAsia" w:ascii="仿宋_GB2312" w:hAnsi="仿宋_GB2312" w:eastAsia="仿宋_GB2312" w:cs="仿宋_GB2312"/>
          <w:color w:val="FF0000"/>
          <w:sz w:val="32"/>
          <w:szCs w:val="40"/>
        </w:rPr>
        <w:t>《xxx基金（暂定名）设立方案》</w:t>
      </w:r>
    </w:p>
    <w:p w14:paraId="52EEC0E0">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40"/>
        </w:rPr>
      </w:pPr>
    </w:p>
    <w:p w14:paraId="2D0C779E">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40"/>
        </w:rPr>
      </w:pPr>
    </w:p>
    <w:p w14:paraId="17324248">
      <w:pPr>
        <w:keepNext w:val="0"/>
        <w:keepLines w:val="0"/>
        <w:pageBreakBefore w:val="0"/>
        <w:widowControl w:val="0"/>
        <w:kinsoku/>
        <w:overflowPunct/>
        <w:topLinePunct w:val="0"/>
        <w:autoSpaceDE/>
        <w:autoSpaceDN/>
        <w:bidi w:val="0"/>
        <w:adjustRightInd/>
        <w:snapToGrid/>
        <w:spacing w:line="600" w:lineRule="exact"/>
        <w:ind w:left="0" w:leftChars="0" w:firstLine="640" w:firstLineChars="200"/>
        <w:jc w:val="right"/>
        <w:textAlignment w:val="auto"/>
        <w:rPr>
          <w:rFonts w:ascii="仿宋_GB2312" w:hAnsi="仿宋_GB2312" w:eastAsia="仿宋_GB2312" w:cs="仿宋_GB2312"/>
          <w:sz w:val="32"/>
          <w:szCs w:val="40"/>
        </w:rPr>
      </w:pPr>
      <w:r>
        <w:rPr>
          <w:rFonts w:hint="eastAsia" w:ascii="仿宋_GB2312" w:hAnsi="仿宋_GB2312" w:eastAsia="仿宋_GB2312" w:cs="仿宋_GB2312"/>
          <w:sz w:val="32"/>
          <w:szCs w:val="40"/>
        </w:rPr>
        <w:t>管理机构：</w:t>
      </w:r>
      <w:r>
        <w:rPr>
          <w:rFonts w:hint="eastAsia" w:ascii="仿宋_GB2312" w:hAnsi="仿宋_GB2312" w:eastAsia="仿宋_GB2312" w:cs="仿宋_GB2312"/>
          <w:color w:val="FF0000"/>
          <w:sz w:val="32"/>
          <w:szCs w:val="40"/>
          <w:u w:val="single"/>
        </w:rPr>
        <w:t xml:space="preserve">                (加盖公章）</w:t>
      </w:r>
    </w:p>
    <w:p w14:paraId="1DEE0404">
      <w:pPr>
        <w:keepNext w:val="0"/>
        <w:keepLines w:val="0"/>
        <w:pageBreakBefore w:val="0"/>
        <w:widowControl w:val="0"/>
        <w:kinsoku/>
        <w:wordWrap w:val="0"/>
        <w:overflowPunct/>
        <w:topLinePunct w:val="0"/>
        <w:autoSpaceDE/>
        <w:autoSpaceDN/>
        <w:bidi w:val="0"/>
        <w:adjustRightInd/>
        <w:snapToGrid/>
        <w:spacing w:line="600" w:lineRule="exact"/>
        <w:ind w:left="0" w:leftChars="0" w:firstLine="640" w:firstLineChars="200"/>
        <w:jc w:val="right"/>
        <w:textAlignment w:val="auto"/>
        <w:rPr>
          <w:rFonts w:hint="default" w:ascii="仿宋_GB2312" w:hAnsi="仿宋_GB2312" w:eastAsia="仿宋_GB2312" w:cs="仿宋_GB2312"/>
          <w:color w:val="FF0000"/>
          <w:sz w:val="32"/>
          <w:szCs w:val="40"/>
          <w:lang w:val="en-US" w:eastAsia="zh-CN"/>
        </w:rPr>
      </w:pPr>
      <w:r>
        <w:rPr>
          <w:rFonts w:hint="eastAsia" w:ascii="仿宋_GB2312" w:hAnsi="仿宋_GB2312" w:eastAsia="仿宋_GB2312" w:cs="仿宋_GB2312"/>
          <w:color w:val="FF0000"/>
          <w:sz w:val="32"/>
          <w:szCs w:val="40"/>
        </w:rPr>
        <w:t>xxxx年xx月xx日</w:t>
      </w:r>
      <w:r>
        <w:rPr>
          <w:rFonts w:hint="eastAsia" w:ascii="仿宋_GB2312" w:hAnsi="仿宋_GB2312" w:cs="仿宋_GB2312"/>
          <w:color w:val="FF0000"/>
          <w:sz w:val="32"/>
          <w:szCs w:val="40"/>
          <w:lang w:val="en-US" w:eastAsia="zh-CN"/>
        </w:rPr>
        <w:t xml:space="preserve">    </w:t>
      </w:r>
    </w:p>
    <w:p w14:paraId="48FD3B95">
      <w:pPr>
        <w:numPr>
          <w:ilvl w:val="255"/>
          <w:numId w:val="0"/>
        </w:numPr>
        <w:spacing w:line="600" w:lineRule="exact"/>
        <w:rPr>
          <w:rFonts w:ascii="黑体" w:hAnsi="黑体" w:eastAsia="黑体" w:cs="黑体"/>
          <w:sz w:val="32"/>
          <w:szCs w:val="20"/>
        </w:rPr>
      </w:pPr>
    </w:p>
    <w:p w14:paraId="3CBE4FBE">
      <w:pPr>
        <w:numPr>
          <w:ilvl w:val="255"/>
          <w:numId w:val="0"/>
        </w:numPr>
        <w:spacing w:line="600" w:lineRule="exact"/>
        <w:rPr>
          <w:rFonts w:ascii="黑体" w:hAnsi="黑体" w:eastAsia="黑体" w:cs="黑体"/>
          <w:sz w:val="32"/>
          <w:szCs w:val="20"/>
        </w:rPr>
      </w:pPr>
    </w:p>
    <w:p w14:paraId="3F1B4FF2">
      <w:pPr>
        <w:numPr>
          <w:ilvl w:val="255"/>
          <w:numId w:val="0"/>
        </w:numPr>
        <w:spacing w:line="600" w:lineRule="exact"/>
        <w:rPr>
          <w:rFonts w:ascii="黑体" w:hAnsi="黑体" w:eastAsia="黑体" w:cs="黑体"/>
          <w:sz w:val="32"/>
          <w:szCs w:val="20"/>
        </w:rPr>
      </w:pPr>
    </w:p>
    <w:p w14:paraId="1032759D">
      <w:pPr>
        <w:numPr>
          <w:ilvl w:val="255"/>
          <w:numId w:val="0"/>
        </w:numPr>
        <w:spacing w:line="600" w:lineRule="exact"/>
        <w:rPr>
          <w:rFonts w:ascii="黑体" w:hAnsi="黑体" w:eastAsia="黑体" w:cs="黑体"/>
          <w:sz w:val="32"/>
          <w:szCs w:val="20"/>
        </w:rPr>
        <w:sectPr>
          <w:headerReference r:id="rId3" w:type="default"/>
          <w:footerReference r:id="rId4" w:type="default"/>
          <w:pgSz w:w="11906" w:h="16838"/>
          <w:pgMar w:top="2098" w:right="1417" w:bottom="1417" w:left="1417" w:header="851" w:footer="992" w:gutter="0"/>
          <w:pgNumType w:start="0"/>
          <w:cols w:space="425" w:num="1"/>
          <w:docGrid w:type="lines" w:linePitch="312" w:charSpace="0"/>
        </w:sectPr>
      </w:pPr>
    </w:p>
    <w:p w14:paraId="34AA0724">
      <w:pPr>
        <w:numPr>
          <w:ilvl w:val="255"/>
          <w:numId w:val="0"/>
        </w:numPr>
        <w:spacing w:line="600" w:lineRule="exact"/>
        <w:rPr>
          <w:rFonts w:ascii="黑体" w:hAnsi="黑体" w:eastAsia="黑体" w:cs="黑体"/>
          <w:sz w:val="32"/>
          <w:szCs w:val="20"/>
        </w:rPr>
      </w:pPr>
      <w:r>
        <w:rPr>
          <w:rFonts w:hint="eastAsia" w:ascii="黑体" w:hAnsi="黑体" w:eastAsia="黑体" w:cs="黑体"/>
          <w:sz w:val="32"/>
          <w:szCs w:val="20"/>
        </w:rPr>
        <w:t>附件</w:t>
      </w:r>
    </w:p>
    <w:p w14:paraId="2D299A5E">
      <w:pPr>
        <w:pStyle w:val="15"/>
        <w:spacing w:before="468" w:beforeLines="150" w:beforeAutospacing="0" w:after="156" w:afterLines="50" w:afterAutospacing="0"/>
        <w:jc w:val="center"/>
        <w:rPr>
          <w:rFonts w:ascii="黑体" w:hAnsi="黑体" w:eastAsia="黑体" w:cs="等线"/>
          <w:b/>
          <w:bCs/>
          <w:color w:val="000000"/>
          <w:spacing w:val="120"/>
          <w:kern w:val="24"/>
          <w:position w:val="1"/>
          <w:sz w:val="44"/>
          <w:szCs w:val="44"/>
        </w:rPr>
      </w:pPr>
    </w:p>
    <w:p w14:paraId="72B41705">
      <w:pPr>
        <w:pStyle w:val="15"/>
        <w:spacing w:before="468" w:beforeLines="150" w:beforeAutospacing="0" w:after="156" w:afterLines="50" w:afterAutospacing="0"/>
        <w:jc w:val="center"/>
        <w:rPr>
          <w:rFonts w:ascii="黑体" w:hAnsi="黑体" w:eastAsia="黑体" w:cs="等线"/>
          <w:b/>
          <w:bCs/>
          <w:color w:val="000000"/>
          <w:spacing w:val="120"/>
          <w:kern w:val="24"/>
          <w:position w:val="1"/>
          <w:sz w:val="44"/>
          <w:szCs w:val="44"/>
        </w:rPr>
      </w:pPr>
    </w:p>
    <w:p w14:paraId="783DEEC1">
      <w:pPr>
        <w:pStyle w:val="15"/>
        <w:spacing w:before="468" w:beforeLines="150" w:beforeAutospacing="0" w:after="156" w:afterLines="50" w:afterAutospacing="0"/>
        <w:jc w:val="center"/>
        <w:rPr>
          <w:rFonts w:ascii="黑体" w:hAnsi="黑体" w:eastAsia="黑体" w:cs="等线"/>
          <w:b/>
          <w:bCs/>
          <w:color w:val="000000"/>
          <w:spacing w:val="120"/>
          <w:kern w:val="24"/>
          <w:position w:val="1"/>
          <w:sz w:val="44"/>
          <w:szCs w:val="44"/>
        </w:rPr>
      </w:pPr>
    </w:p>
    <w:p w14:paraId="16D42A66">
      <w:pPr>
        <w:pStyle w:val="15"/>
        <w:spacing w:before="312" w:beforeLines="100" w:beforeAutospacing="0" w:after="312" w:afterLines="100" w:afterAutospacing="0" w:line="480" w:lineRule="auto"/>
        <w:jc w:val="center"/>
        <w:rPr>
          <w:rFonts w:ascii="黑体" w:hAnsi="黑体" w:eastAsia="黑体" w:cs="等线"/>
          <w:b/>
          <w:bCs/>
          <w:color w:val="FF0000"/>
          <w:spacing w:val="120"/>
          <w:kern w:val="24"/>
          <w:position w:val="1"/>
          <w:sz w:val="45"/>
          <w:szCs w:val="45"/>
        </w:rPr>
      </w:pPr>
      <w:r>
        <w:rPr>
          <w:rFonts w:hint="eastAsia" w:ascii="黑体" w:hAnsi="黑体" w:eastAsia="黑体" w:cs="等线"/>
          <w:b/>
          <w:bCs/>
          <w:color w:val="FF0000"/>
          <w:spacing w:val="120"/>
          <w:kern w:val="24"/>
          <w:position w:val="1"/>
          <w:sz w:val="45"/>
          <w:szCs w:val="45"/>
        </w:rPr>
        <w:t>xxx基金</w:t>
      </w:r>
    </w:p>
    <w:p w14:paraId="61FD61A7">
      <w:pPr>
        <w:pStyle w:val="15"/>
        <w:spacing w:before="312" w:beforeLines="100" w:beforeAutospacing="0" w:after="312" w:afterLines="100" w:afterAutospacing="0" w:line="480" w:lineRule="auto"/>
        <w:jc w:val="center"/>
        <w:rPr>
          <w:rFonts w:ascii="黑体" w:hAnsi="黑体" w:eastAsia="黑体" w:cs="等线"/>
          <w:b/>
          <w:bCs/>
          <w:color w:val="000000"/>
          <w:spacing w:val="120"/>
          <w:kern w:val="24"/>
          <w:position w:val="1"/>
          <w:sz w:val="45"/>
          <w:szCs w:val="45"/>
        </w:rPr>
      </w:pPr>
      <w:r>
        <w:rPr>
          <w:rFonts w:hint="eastAsia" w:ascii="黑体" w:hAnsi="黑体" w:eastAsia="黑体" w:cs="等线"/>
          <w:b/>
          <w:bCs/>
          <w:color w:val="000000"/>
          <w:spacing w:val="120"/>
          <w:kern w:val="24"/>
          <w:position w:val="1"/>
          <w:sz w:val="45"/>
          <w:szCs w:val="45"/>
        </w:rPr>
        <w:t>（暂定名）</w:t>
      </w:r>
    </w:p>
    <w:p w14:paraId="03927829">
      <w:pPr>
        <w:pStyle w:val="15"/>
        <w:spacing w:before="312" w:beforeLines="100" w:beforeAutospacing="0" w:after="312" w:afterLines="100" w:afterAutospacing="0" w:line="480" w:lineRule="auto"/>
        <w:jc w:val="center"/>
        <w:rPr>
          <w:rFonts w:ascii="黑体" w:hAnsi="黑体" w:eastAsia="黑体" w:cs="等线"/>
          <w:b/>
          <w:bCs/>
          <w:color w:val="000000"/>
          <w:spacing w:val="120"/>
          <w:kern w:val="24"/>
          <w:position w:val="1"/>
          <w:sz w:val="45"/>
          <w:szCs w:val="45"/>
        </w:rPr>
      </w:pPr>
      <w:r>
        <w:rPr>
          <w:rFonts w:hint="eastAsia" w:ascii="黑体" w:hAnsi="黑体" w:eastAsia="黑体" w:cs="等线"/>
          <w:b/>
          <w:bCs/>
          <w:color w:val="000000"/>
          <w:spacing w:val="120"/>
          <w:kern w:val="24"/>
          <w:position w:val="1"/>
          <w:sz w:val="45"/>
          <w:szCs w:val="45"/>
        </w:rPr>
        <w:t>设立方案</w:t>
      </w:r>
    </w:p>
    <w:p w14:paraId="786CBE96">
      <w:pPr>
        <w:spacing w:line="360" w:lineRule="auto"/>
        <w:jc w:val="center"/>
        <w:rPr>
          <w:rFonts w:ascii="黑体" w:hAnsi="黑体" w:eastAsia="黑体" w:cs="黑体"/>
          <w:sz w:val="36"/>
          <w:szCs w:val="36"/>
        </w:rPr>
        <w:sectPr>
          <w:pgSz w:w="11906" w:h="16838"/>
          <w:pgMar w:top="2098" w:right="1417" w:bottom="1417" w:left="1417" w:header="851" w:footer="992" w:gutter="0"/>
          <w:pgNumType w:start="0"/>
          <w:cols w:space="425" w:num="1"/>
          <w:docGrid w:type="lines" w:linePitch="312" w:charSpace="0"/>
        </w:sectPr>
      </w:pPr>
    </w:p>
    <w:sdt>
      <w:sdtPr>
        <w:rPr>
          <w:rFonts w:hint="eastAsia" w:ascii="黑体" w:hAnsi="黑体" w:eastAsia="黑体" w:cs="黑体"/>
          <w:sz w:val="36"/>
          <w:szCs w:val="36"/>
        </w:rPr>
        <w:id w:val="147467531"/>
        <w15:color w:val="DBDBDB"/>
        <w:docPartObj>
          <w:docPartGallery w:val="Table of Contents"/>
          <w:docPartUnique/>
        </w:docPartObj>
      </w:sdtPr>
      <w:sdtEndPr>
        <w:rPr>
          <w:rFonts w:hint="eastAsia" w:ascii="黑体" w:hAnsi="黑体" w:eastAsia="黑体" w:cs="黑体"/>
          <w:sz w:val="24"/>
          <w:szCs w:val="24"/>
        </w:rPr>
      </w:sdtEndPr>
      <w:sdtContent>
        <w:p w14:paraId="08233A82">
          <w:pPr>
            <w:spacing w:line="360" w:lineRule="auto"/>
            <w:jc w:val="center"/>
            <w:rPr>
              <w:rFonts w:ascii="黑体" w:hAnsi="黑体" w:eastAsia="黑体" w:cs="黑体"/>
              <w:sz w:val="36"/>
              <w:szCs w:val="36"/>
            </w:rPr>
          </w:pPr>
          <w:r>
            <w:rPr>
              <w:rFonts w:ascii="黑体" w:hAnsi="黑体" w:eastAsia="黑体" w:cs="黑体"/>
              <w:sz w:val="36"/>
              <w:szCs w:val="36"/>
            </w:rPr>
            <w:t>目录</w:t>
          </w:r>
        </w:p>
        <w:p w14:paraId="32A429D5">
          <w:pPr>
            <w:pStyle w:val="13"/>
            <w:tabs>
              <w:tab w:val="right" w:leader="dot" w:pos="8306"/>
              <w:tab w:val="clear" w:pos="8296"/>
            </w:tabs>
          </w:pPr>
          <w:r>
            <w:rPr>
              <w:sz w:val="24"/>
              <w:szCs w:val="24"/>
            </w:rPr>
            <w:fldChar w:fldCharType="begin"/>
          </w:r>
          <w:r>
            <w:rPr>
              <w:sz w:val="24"/>
              <w:szCs w:val="24"/>
            </w:rPr>
            <w:instrText xml:space="preserve">TOC \o "1-3" \h \u </w:instrText>
          </w:r>
          <w:r>
            <w:rPr>
              <w:sz w:val="24"/>
              <w:szCs w:val="24"/>
            </w:rPr>
            <w:fldChar w:fldCharType="separate"/>
          </w:r>
          <w:r>
            <w:rPr>
              <w:szCs w:val="24"/>
            </w:rPr>
            <w:fldChar w:fldCharType="begin"/>
          </w:r>
          <w:r>
            <w:rPr>
              <w:szCs w:val="24"/>
            </w:rPr>
            <w:instrText xml:space="preserve"> HYPERLINK \l _Toc23707 </w:instrText>
          </w:r>
          <w:r>
            <w:rPr>
              <w:szCs w:val="24"/>
            </w:rPr>
            <w:fldChar w:fldCharType="separate"/>
          </w:r>
          <w:r>
            <w:rPr>
              <w:rFonts w:hint="eastAsia" w:ascii="黑体" w:hAnsi="黑体" w:eastAsia="黑体" w:cs="黑体"/>
              <w:szCs w:val="32"/>
            </w:rPr>
            <w:t>一、 基金基本要素</w:t>
          </w:r>
          <w:r>
            <w:tab/>
          </w:r>
          <w:r>
            <w:fldChar w:fldCharType="begin"/>
          </w:r>
          <w:r>
            <w:instrText xml:space="preserve"> PAGEREF _Toc23707 \h </w:instrText>
          </w:r>
          <w:r>
            <w:fldChar w:fldCharType="separate"/>
          </w:r>
          <w:r>
            <w:t>1</w:t>
          </w:r>
          <w:r>
            <w:fldChar w:fldCharType="end"/>
          </w:r>
          <w:r>
            <w:rPr>
              <w:szCs w:val="24"/>
            </w:rPr>
            <w:fldChar w:fldCharType="end"/>
          </w:r>
        </w:p>
        <w:p w14:paraId="75476570">
          <w:pPr>
            <w:pStyle w:val="14"/>
            <w:tabs>
              <w:tab w:val="right" w:leader="dot" w:pos="8306"/>
            </w:tabs>
          </w:pPr>
          <w:r>
            <w:rPr>
              <w:szCs w:val="24"/>
            </w:rPr>
            <w:fldChar w:fldCharType="begin"/>
          </w:r>
          <w:r>
            <w:rPr>
              <w:szCs w:val="24"/>
            </w:rPr>
            <w:instrText xml:space="preserve"> HYPERLINK \l _Toc28688 </w:instrText>
          </w:r>
          <w:r>
            <w:rPr>
              <w:szCs w:val="24"/>
            </w:rPr>
            <w:fldChar w:fldCharType="separate"/>
          </w:r>
          <w:r>
            <w:rPr>
              <w:rFonts w:hint="eastAsia" w:ascii="楷体" w:hAnsi="楷体" w:eastAsia="楷体" w:cs="楷体"/>
              <w:szCs w:val="28"/>
            </w:rPr>
            <w:t>（一） 基金名称</w:t>
          </w:r>
          <w:r>
            <w:tab/>
          </w:r>
          <w:r>
            <w:fldChar w:fldCharType="begin"/>
          </w:r>
          <w:r>
            <w:instrText xml:space="preserve"> PAGEREF _Toc28688 \h </w:instrText>
          </w:r>
          <w:r>
            <w:fldChar w:fldCharType="separate"/>
          </w:r>
          <w:r>
            <w:t>1</w:t>
          </w:r>
          <w:r>
            <w:fldChar w:fldCharType="end"/>
          </w:r>
          <w:r>
            <w:rPr>
              <w:szCs w:val="24"/>
            </w:rPr>
            <w:fldChar w:fldCharType="end"/>
          </w:r>
        </w:p>
        <w:p w14:paraId="701FCE30">
          <w:pPr>
            <w:pStyle w:val="14"/>
            <w:tabs>
              <w:tab w:val="right" w:leader="dot" w:pos="8306"/>
            </w:tabs>
          </w:pPr>
          <w:r>
            <w:rPr>
              <w:szCs w:val="24"/>
            </w:rPr>
            <w:fldChar w:fldCharType="begin"/>
          </w:r>
          <w:r>
            <w:rPr>
              <w:szCs w:val="24"/>
            </w:rPr>
            <w:instrText xml:space="preserve"> HYPERLINK \l _Toc4242 </w:instrText>
          </w:r>
          <w:r>
            <w:rPr>
              <w:szCs w:val="24"/>
            </w:rPr>
            <w:fldChar w:fldCharType="separate"/>
          </w:r>
          <w:r>
            <w:rPr>
              <w:rFonts w:hint="eastAsia" w:ascii="楷体" w:hAnsi="楷体" w:eastAsia="楷体" w:cs="楷体"/>
              <w:szCs w:val="28"/>
            </w:rPr>
            <w:t>（二） 基金组织形式</w:t>
          </w:r>
          <w:r>
            <w:tab/>
          </w:r>
          <w:r>
            <w:fldChar w:fldCharType="begin"/>
          </w:r>
          <w:r>
            <w:instrText xml:space="preserve"> PAGEREF _Toc4242 \h </w:instrText>
          </w:r>
          <w:r>
            <w:fldChar w:fldCharType="separate"/>
          </w:r>
          <w:r>
            <w:t>1</w:t>
          </w:r>
          <w:r>
            <w:fldChar w:fldCharType="end"/>
          </w:r>
          <w:r>
            <w:rPr>
              <w:szCs w:val="24"/>
            </w:rPr>
            <w:fldChar w:fldCharType="end"/>
          </w:r>
        </w:p>
        <w:p w14:paraId="5AB3117A">
          <w:pPr>
            <w:pStyle w:val="14"/>
            <w:tabs>
              <w:tab w:val="right" w:leader="dot" w:pos="8306"/>
            </w:tabs>
          </w:pPr>
          <w:r>
            <w:rPr>
              <w:szCs w:val="24"/>
            </w:rPr>
            <w:fldChar w:fldCharType="begin"/>
          </w:r>
          <w:r>
            <w:rPr>
              <w:szCs w:val="24"/>
            </w:rPr>
            <w:instrText xml:space="preserve"> HYPERLINK \l _Toc15134 </w:instrText>
          </w:r>
          <w:r>
            <w:rPr>
              <w:szCs w:val="24"/>
            </w:rPr>
            <w:fldChar w:fldCharType="separate"/>
          </w:r>
          <w:r>
            <w:rPr>
              <w:rFonts w:hint="eastAsia" w:ascii="楷体" w:hAnsi="楷体" w:eastAsia="楷体" w:cs="楷体"/>
              <w:szCs w:val="28"/>
            </w:rPr>
            <w:t>（三） 基金注册地址</w:t>
          </w:r>
          <w:r>
            <w:tab/>
          </w:r>
          <w:r>
            <w:fldChar w:fldCharType="begin"/>
          </w:r>
          <w:r>
            <w:instrText xml:space="preserve"> PAGEREF _Toc15134 \h </w:instrText>
          </w:r>
          <w:r>
            <w:fldChar w:fldCharType="separate"/>
          </w:r>
          <w:r>
            <w:t>1</w:t>
          </w:r>
          <w:r>
            <w:fldChar w:fldCharType="end"/>
          </w:r>
          <w:r>
            <w:rPr>
              <w:szCs w:val="24"/>
            </w:rPr>
            <w:fldChar w:fldCharType="end"/>
          </w:r>
        </w:p>
        <w:p w14:paraId="2D6A24DE">
          <w:pPr>
            <w:pStyle w:val="14"/>
            <w:tabs>
              <w:tab w:val="right" w:leader="dot" w:pos="8306"/>
            </w:tabs>
          </w:pPr>
          <w:r>
            <w:rPr>
              <w:szCs w:val="24"/>
            </w:rPr>
            <w:fldChar w:fldCharType="begin"/>
          </w:r>
          <w:r>
            <w:rPr>
              <w:szCs w:val="24"/>
            </w:rPr>
            <w:instrText xml:space="preserve"> HYPERLINK \l _Toc309 </w:instrText>
          </w:r>
          <w:r>
            <w:rPr>
              <w:szCs w:val="24"/>
            </w:rPr>
            <w:fldChar w:fldCharType="separate"/>
          </w:r>
          <w:r>
            <w:rPr>
              <w:rFonts w:hint="eastAsia" w:ascii="楷体" w:hAnsi="楷体" w:eastAsia="楷体" w:cs="楷体"/>
              <w:szCs w:val="28"/>
            </w:rPr>
            <w:t>（四） 基金存续期限</w:t>
          </w:r>
          <w:r>
            <w:tab/>
          </w:r>
          <w:r>
            <w:fldChar w:fldCharType="begin"/>
          </w:r>
          <w:r>
            <w:instrText xml:space="preserve"> PAGEREF _Toc309 \h </w:instrText>
          </w:r>
          <w:r>
            <w:fldChar w:fldCharType="separate"/>
          </w:r>
          <w:r>
            <w:t>1</w:t>
          </w:r>
          <w:r>
            <w:fldChar w:fldCharType="end"/>
          </w:r>
          <w:r>
            <w:rPr>
              <w:szCs w:val="24"/>
            </w:rPr>
            <w:fldChar w:fldCharType="end"/>
          </w:r>
        </w:p>
        <w:p w14:paraId="23889B9A">
          <w:pPr>
            <w:pStyle w:val="14"/>
            <w:tabs>
              <w:tab w:val="right" w:leader="dot" w:pos="8306"/>
            </w:tabs>
          </w:pPr>
          <w:r>
            <w:rPr>
              <w:szCs w:val="24"/>
            </w:rPr>
            <w:fldChar w:fldCharType="begin"/>
          </w:r>
          <w:r>
            <w:rPr>
              <w:szCs w:val="24"/>
            </w:rPr>
            <w:instrText xml:space="preserve"> HYPERLINK \l _Toc24558 </w:instrText>
          </w:r>
          <w:r>
            <w:rPr>
              <w:szCs w:val="24"/>
            </w:rPr>
            <w:fldChar w:fldCharType="separate"/>
          </w:r>
          <w:r>
            <w:rPr>
              <w:rFonts w:hint="eastAsia" w:ascii="楷体" w:hAnsi="楷体" w:eastAsia="楷体" w:cs="楷体"/>
              <w:szCs w:val="28"/>
            </w:rPr>
            <w:t>（五） 基金规模</w:t>
          </w:r>
          <w:r>
            <w:tab/>
          </w:r>
          <w:r>
            <w:fldChar w:fldCharType="begin"/>
          </w:r>
          <w:r>
            <w:instrText xml:space="preserve"> PAGEREF _Toc24558 \h </w:instrText>
          </w:r>
          <w:r>
            <w:fldChar w:fldCharType="separate"/>
          </w:r>
          <w:r>
            <w:t>1</w:t>
          </w:r>
          <w:r>
            <w:fldChar w:fldCharType="end"/>
          </w:r>
          <w:r>
            <w:rPr>
              <w:szCs w:val="24"/>
            </w:rPr>
            <w:fldChar w:fldCharType="end"/>
          </w:r>
        </w:p>
        <w:p w14:paraId="1B7EC902">
          <w:pPr>
            <w:pStyle w:val="14"/>
            <w:tabs>
              <w:tab w:val="right" w:leader="dot" w:pos="8306"/>
            </w:tabs>
          </w:pPr>
          <w:r>
            <w:rPr>
              <w:szCs w:val="24"/>
            </w:rPr>
            <w:fldChar w:fldCharType="begin"/>
          </w:r>
          <w:r>
            <w:rPr>
              <w:szCs w:val="24"/>
            </w:rPr>
            <w:instrText xml:space="preserve"> HYPERLINK \l _Toc27189 </w:instrText>
          </w:r>
          <w:r>
            <w:rPr>
              <w:szCs w:val="24"/>
            </w:rPr>
            <w:fldChar w:fldCharType="separate"/>
          </w:r>
          <w:r>
            <w:rPr>
              <w:rFonts w:hint="eastAsia" w:ascii="楷体" w:hAnsi="楷体" w:eastAsia="楷体" w:cs="楷体"/>
              <w:szCs w:val="28"/>
            </w:rPr>
            <w:t>（六） 出资缴付安排</w:t>
          </w:r>
          <w:r>
            <w:tab/>
          </w:r>
          <w:r>
            <w:fldChar w:fldCharType="begin"/>
          </w:r>
          <w:r>
            <w:instrText xml:space="preserve"> PAGEREF _Toc27189 \h </w:instrText>
          </w:r>
          <w:r>
            <w:fldChar w:fldCharType="separate"/>
          </w:r>
          <w:r>
            <w:t>1</w:t>
          </w:r>
          <w:r>
            <w:fldChar w:fldCharType="end"/>
          </w:r>
          <w:r>
            <w:rPr>
              <w:szCs w:val="24"/>
            </w:rPr>
            <w:fldChar w:fldCharType="end"/>
          </w:r>
        </w:p>
        <w:p w14:paraId="1D25DB83">
          <w:pPr>
            <w:pStyle w:val="14"/>
            <w:tabs>
              <w:tab w:val="right" w:leader="dot" w:pos="8306"/>
            </w:tabs>
          </w:pPr>
          <w:r>
            <w:rPr>
              <w:szCs w:val="24"/>
            </w:rPr>
            <w:fldChar w:fldCharType="begin"/>
          </w:r>
          <w:r>
            <w:rPr>
              <w:szCs w:val="24"/>
            </w:rPr>
            <w:instrText xml:space="preserve"> HYPERLINK \l _Toc27580 </w:instrText>
          </w:r>
          <w:r>
            <w:rPr>
              <w:szCs w:val="24"/>
            </w:rPr>
            <w:fldChar w:fldCharType="separate"/>
          </w:r>
          <w:r>
            <w:rPr>
              <w:rFonts w:hint="eastAsia" w:ascii="楷体" w:hAnsi="楷体" w:eastAsia="楷体" w:cs="楷体"/>
              <w:szCs w:val="28"/>
            </w:rPr>
            <w:t>（七） 基金管理人情况</w:t>
          </w:r>
          <w:r>
            <w:tab/>
          </w:r>
          <w:r>
            <w:fldChar w:fldCharType="begin"/>
          </w:r>
          <w:r>
            <w:instrText xml:space="preserve"> PAGEREF _Toc27580 \h </w:instrText>
          </w:r>
          <w:r>
            <w:fldChar w:fldCharType="separate"/>
          </w:r>
          <w:r>
            <w:t>2</w:t>
          </w:r>
          <w:r>
            <w:fldChar w:fldCharType="end"/>
          </w:r>
          <w:r>
            <w:rPr>
              <w:szCs w:val="24"/>
            </w:rPr>
            <w:fldChar w:fldCharType="end"/>
          </w:r>
        </w:p>
        <w:p w14:paraId="0ACA54BD">
          <w:pPr>
            <w:pStyle w:val="14"/>
            <w:tabs>
              <w:tab w:val="right" w:leader="dot" w:pos="8306"/>
            </w:tabs>
          </w:pPr>
          <w:r>
            <w:rPr>
              <w:szCs w:val="24"/>
            </w:rPr>
            <w:fldChar w:fldCharType="begin"/>
          </w:r>
          <w:r>
            <w:rPr>
              <w:szCs w:val="24"/>
            </w:rPr>
            <w:instrText xml:space="preserve"> HYPERLINK \l _Toc2817 </w:instrText>
          </w:r>
          <w:r>
            <w:rPr>
              <w:szCs w:val="24"/>
            </w:rPr>
            <w:fldChar w:fldCharType="separate"/>
          </w:r>
          <w:r>
            <w:rPr>
              <w:rFonts w:hint="eastAsia" w:ascii="楷体" w:hAnsi="楷体" w:eastAsia="楷体" w:cs="楷体"/>
              <w:szCs w:val="28"/>
            </w:rPr>
            <w:t>（八） 合伙企业费用</w:t>
          </w:r>
          <w:r>
            <w:tab/>
          </w:r>
          <w:r>
            <w:fldChar w:fldCharType="begin"/>
          </w:r>
          <w:r>
            <w:instrText xml:space="preserve"> PAGEREF _Toc2817 \h </w:instrText>
          </w:r>
          <w:r>
            <w:fldChar w:fldCharType="separate"/>
          </w:r>
          <w:r>
            <w:t>2</w:t>
          </w:r>
          <w:r>
            <w:fldChar w:fldCharType="end"/>
          </w:r>
          <w:r>
            <w:rPr>
              <w:szCs w:val="24"/>
            </w:rPr>
            <w:fldChar w:fldCharType="end"/>
          </w:r>
        </w:p>
        <w:p w14:paraId="25BB4E1B">
          <w:pPr>
            <w:pStyle w:val="14"/>
            <w:tabs>
              <w:tab w:val="right" w:leader="dot" w:pos="8306"/>
            </w:tabs>
          </w:pPr>
          <w:r>
            <w:rPr>
              <w:szCs w:val="24"/>
            </w:rPr>
            <w:fldChar w:fldCharType="begin"/>
          </w:r>
          <w:r>
            <w:rPr>
              <w:szCs w:val="24"/>
            </w:rPr>
            <w:instrText xml:space="preserve"> HYPERLINK \l _Toc29395 </w:instrText>
          </w:r>
          <w:r>
            <w:rPr>
              <w:szCs w:val="24"/>
            </w:rPr>
            <w:fldChar w:fldCharType="separate"/>
          </w:r>
          <w:r>
            <w:rPr>
              <w:rFonts w:hint="eastAsia" w:ascii="楷体" w:hAnsi="楷体" w:eastAsia="楷体" w:cs="楷体"/>
              <w:szCs w:val="28"/>
            </w:rPr>
            <w:t>（九） 基金托管</w:t>
          </w:r>
          <w:r>
            <w:tab/>
          </w:r>
          <w:r>
            <w:fldChar w:fldCharType="begin"/>
          </w:r>
          <w:r>
            <w:instrText xml:space="preserve"> PAGEREF _Toc29395 \h </w:instrText>
          </w:r>
          <w:r>
            <w:fldChar w:fldCharType="separate"/>
          </w:r>
          <w:r>
            <w:t>3</w:t>
          </w:r>
          <w:r>
            <w:fldChar w:fldCharType="end"/>
          </w:r>
          <w:r>
            <w:rPr>
              <w:szCs w:val="24"/>
            </w:rPr>
            <w:fldChar w:fldCharType="end"/>
          </w:r>
        </w:p>
        <w:p w14:paraId="453B8B77">
          <w:pPr>
            <w:pStyle w:val="13"/>
            <w:tabs>
              <w:tab w:val="right" w:leader="dot" w:pos="8306"/>
              <w:tab w:val="clear" w:pos="8296"/>
            </w:tabs>
          </w:pPr>
          <w:r>
            <w:rPr>
              <w:szCs w:val="24"/>
            </w:rPr>
            <w:fldChar w:fldCharType="begin"/>
          </w:r>
          <w:r>
            <w:rPr>
              <w:szCs w:val="24"/>
            </w:rPr>
            <w:instrText xml:space="preserve"> HYPERLINK \l _Toc5868 </w:instrText>
          </w:r>
          <w:r>
            <w:rPr>
              <w:szCs w:val="24"/>
            </w:rPr>
            <w:fldChar w:fldCharType="separate"/>
          </w:r>
          <w:r>
            <w:rPr>
              <w:rFonts w:hint="eastAsia" w:ascii="黑体" w:hAnsi="黑体" w:eastAsia="黑体" w:cs="黑体"/>
              <w:szCs w:val="32"/>
            </w:rPr>
            <w:t>二、 管理机构及团队介绍</w:t>
          </w:r>
          <w:r>
            <w:tab/>
          </w:r>
          <w:r>
            <w:fldChar w:fldCharType="begin"/>
          </w:r>
          <w:r>
            <w:instrText xml:space="preserve"> PAGEREF _Toc5868 \h </w:instrText>
          </w:r>
          <w:r>
            <w:fldChar w:fldCharType="separate"/>
          </w:r>
          <w:r>
            <w:t>4</w:t>
          </w:r>
          <w:r>
            <w:fldChar w:fldCharType="end"/>
          </w:r>
          <w:r>
            <w:rPr>
              <w:szCs w:val="24"/>
            </w:rPr>
            <w:fldChar w:fldCharType="end"/>
          </w:r>
        </w:p>
        <w:p w14:paraId="0FAD31C0">
          <w:pPr>
            <w:pStyle w:val="14"/>
            <w:tabs>
              <w:tab w:val="right" w:leader="dot" w:pos="8306"/>
            </w:tabs>
          </w:pPr>
          <w:r>
            <w:rPr>
              <w:szCs w:val="24"/>
            </w:rPr>
            <w:fldChar w:fldCharType="begin"/>
          </w:r>
          <w:r>
            <w:rPr>
              <w:szCs w:val="24"/>
            </w:rPr>
            <w:instrText xml:space="preserve"> HYPERLINK \l _Toc21156 </w:instrText>
          </w:r>
          <w:r>
            <w:rPr>
              <w:szCs w:val="24"/>
            </w:rPr>
            <w:fldChar w:fldCharType="separate"/>
          </w:r>
          <w:r>
            <w:rPr>
              <w:rFonts w:hint="eastAsia" w:ascii="楷体" w:hAnsi="楷体" w:eastAsia="楷体" w:cs="楷体"/>
              <w:szCs w:val="28"/>
            </w:rPr>
            <w:t>（一） 管理机构简介</w:t>
          </w:r>
          <w:r>
            <w:tab/>
          </w:r>
          <w:r>
            <w:fldChar w:fldCharType="begin"/>
          </w:r>
          <w:r>
            <w:instrText xml:space="preserve"> PAGEREF _Toc21156 \h </w:instrText>
          </w:r>
          <w:r>
            <w:fldChar w:fldCharType="separate"/>
          </w:r>
          <w:r>
            <w:t>4</w:t>
          </w:r>
          <w:r>
            <w:fldChar w:fldCharType="end"/>
          </w:r>
          <w:r>
            <w:rPr>
              <w:szCs w:val="24"/>
            </w:rPr>
            <w:fldChar w:fldCharType="end"/>
          </w:r>
        </w:p>
        <w:p w14:paraId="4668D04D">
          <w:pPr>
            <w:pStyle w:val="14"/>
            <w:tabs>
              <w:tab w:val="right" w:leader="dot" w:pos="8306"/>
            </w:tabs>
          </w:pPr>
          <w:r>
            <w:rPr>
              <w:szCs w:val="24"/>
            </w:rPr>
            <w:fldChar w:fldCharType="begin"/>
          </w:r>
          <w:r>
            <w:rPr>
              <w:szCs w:val="24"/>
            </w:rPr>
            <w:instrText xml:space="preserve"> HYPERLINK \l _Toc14180 </w:instrText>
          </w:r>
          <w:r>
            <w:rPr>
              <w:szCs w:val="24"/>
            </w:rPr>
            <w:fldChar w:fldCharType="separate"/>
          </w:r>
          <w:r>
            <w:rPr>
              <w:rFonts w:hint="eastAsia" w:ascii="楷体" w:hAnsi="楷体" w:eastAsia="楷体" w:cs="楷体"/>
              <w:szCs w:val="28"/>
            </w:rPr>
            <w:t>（二） 管理团队核心人员简介</w:t>
          </w:r>
          <w:r>
            <w:tab/>
          </w:r>
          <w:r>
            <w:fldChar w:fldCharType="begin"/>
          </w:r>
          <w:r>
            <w:instrText xml:space="preserve"> PAGEREF _Toc14180 \h </w:instrText>
          </w:r>
          <w:r>
            <w:fldChar w:fldCharType="separate"/>
          </w:r>
          <w:r>
            <w:t>4</w:t>
          </w:r>
          <w:r>
            <w:fldChar w:fldCharType="end"/>
          </w:r>
          <w:r>
            <w:rPr>
              <w:szCs w:val="24"/>
            </w:rPr>
            <w:fldChar w:fldCharType="end"/>
          </w:r>
        </w:p>
        <w:p w14:paraId="6530D515">
          <w:pPr>
            <w:pStyle w:val="13"/>
            <w:tabs>
              <w:tab w:val="right" w:leader="dot" w:pos="8306"/>
              <w:tab w:val="clear" w:pos="8296"/>
            </w:tabs>
          </w:pPr>
          <w:r>
            <w:rPr>
              <w:szCs w:val="24"/>
            </w:rPr>
            <w:fldChar w:fldCharType="begin"/>
          </w:r>
          <w:r>
            <w:rPr>
              <w:szCs w:val="24"/>
            </w:rPr>
            <w:instrText xml:space="preserve"> HYPERLINK \l _Toc20896 </w:instrText>
          </w:r>
          <w:r>
            <w:rPr>
              <w:szCs w:val="24"/>
            </w:rPr>
            <w:fldChar w:fldCharType="separate"/>
          </w:r>
          <w:r>
            <w:rPr>
              <w:rFonts w:hint="eastAsia" w:ascii="黑体" w:hAnsi="黑体" w:eastAsia="黑体" w:cs="黑体"/>
              <w:szCs w:val="32"/>
            </w:rPr>
            <w:t>三、 基金管理和运行</w:t>
          </w:r>
          <w:r>
            <w:tab/>
          </w:r>
          <w:r>
            <w:fldChar w:fldCharType="begin"/>
          </w:r>
          <w:r>
            <w:instrText xml:space="preserve"> PAGEREF _Toc20896 \h </w:instrText>
          </w:r>
          <w:r>
            <w:fldChar w:fldCharType="separate"/>
          </w:r>
          <w:r>
            <w:t>4</w:t>
          </w:r>
          <w:r>
            <w:fldChar w:fldCharType="end"/>
          </w:r>
          <w:r>
            <w:rPr>
              <w:szCs w:val="24"/>
            </w:rPr>
            <w:fldChar w:fldCharType="end"/>
          </w:r>
        </w:p>
        <w:p w14:paraId="682DAF39">
          <w:pPr>
            <w:pStyle w:val="14"/>
            <w:tabs>
              <w:tab w:val="right" w:leader="dot" w:pos="8306"/>
            </w:tabs>
          </w:pPr>
          <w:r>
            <w:rPr>
              <w:szCs w:val="24"/>
            </w:rPr>
            <w:fldChar w:fldCharType="begin"/>
          </w:r>
          <w:r>
            <w:rPr>
              <w:szCs w:val="24"/>
            </w:rPr>
            <w:instrText xml:space="preserve"> HYPERLINK \l _Toc14565 </w:instrText>
          </w:r>
          <w:r>
            <w:rPr>
              <w:szCs w:val="24"/>
            </w:rPr>
            <w:fldChar w:fldCharType="separate"/>
          </w:r>
          <w:r>
            <w:rPr>
              <w:rFonts w:hint="eastAsia" w:ascii="楷体" w:hAnsi="楷体" w:eastAsia="楷体" w:cs="楷体"/>
              <w:szCs w:val="28"/>
            </w:rPr>
            <w:t>（一） 基金治理架构</w:t>
          </w:r>
          <w:r>
            <w:tab/>
          </w:r>
          <w:r>
            <w:fldChar w:fldCharType="begin"/>
          </w:r>
          <w:r>
            <w:instrText xml:space="preserve"> PAGEREF _Toc14565 \h </w:instrText>
          </w:r>
          <w:r>
            <w:fldChar w:fldCharType="separate"/>
          </w:r>
          <w:r>
            <w:t>4</w:t>
          </w:r>
          <w:r>
            <w:fldChar w:fldCharType="end"/>
          </w:r>
          <w:r>
            <w:rPr>
              <w:szCs w:val="24"/>
            </w:rPr>
            <w:fldChar w:fldCharType="end"/>
          </w:r>
        </w:p>
        <w:p w14:paraId="75A2BB2C">
          <w:pPr>
            <w:pStyle w:val="14"/>
            <w:tabs>
              <w:tab w:val="right" w:leader="dot" w:pos="8306"/>
            </w:tabs>
          </w:pPr>
          <w:r>
            <w:rPr>
              <w:szCs w:val="24"/>
            </w:rPr>
            <w:fldChar w:fldCharType="begin"/>
          </w:r>
          <w:r>
            <w:rPr>
              <w:szCs w:val="24"/>
            </w:rPr>
            <w:instrText xml:space="preserve"> HYPERLINK \l _Toc29404 </w:instrText>
          </w:r>
          <w:r>
            <w:rPr>
              <w:szCs w:val="24"/>
            </w:rPr>
            <w:fldChar w:fldCharType="separate"/>
          </w:r>
          <w:r>
            <w:rPr>
              <w:rFonts w:hint="eastAsia" w:ascii="楷体" w:hAnsi="楷体" w:eastAsia="楷体" w:cs="楷体"/>
              <w:szCs w:val="28"/>
            </w:rPr>
            <w:t>（二） 基金投资策略</w:t>
          </w:r>
          <w:r>
            <w:tab/>
          </w:r>
          <w:r>
            <w:fldChar w:fldCharType="begin"/>
          </w:r>
          <w:r>
            <w:instrText xml:space="preserve"> PAGEREF _Toc29404 \h </w:instrText>
          </w:r>
          <w:r>
            <w:fldChar w:fldCharType="separate"/>
          </w:r>
          <w:r>
            <w:t>6</w:t>
          </w:r>
          <w:r>
            <w:fldChar w:fldCharType="end"/>
          </w:r>
          <w:r>
            <w:rPr>
              <w:szCs w:val="24"/>
            </w:rPr>
            <w:fldChar w:fldCharType="end"/>
          </w:r>
        </w:p>
        <w:p w14:paraId="52522F89">
          <w:pPr>
            <w:pStyle w:val="14"/>
            <w:tabs>
              <w:tab w:val="right" w:leader="dot" w:pos="8306"/>
            </w:tabs>
          </w:pPr>
          <w:r>
            <w:rPr>
              <w:szCs w:val="24"/>
            </w:rPr>
            <w:fldChar w:fldCharType="begin"/>
          </w:r>
          <w:r>
            <w:rPr>
              <w:szCs w:val="24"/>
            </w:rPr>
            <w:instrText xml:space="preserve"> HYPERLINK \l _Toc148 </w:instrText>
          </w:r>
          <w:r>
            <w:rPr>
              <w:szCs w:val="24"/>
            </w:rPr>
            <w:fldChar w:fldCharType="separate"/>
          </w:r>
          <w:r>
            <w:rPr>
              <w:rFonts w:hint="eastAsia" w:ascii="楷体" w:hAnsi="楷体" w:eastAsia="楷体" w:cs="楷体"/>
              <w:szCs w:val="28"/>
            </w:rPr>
            <w:t>（三） 关键人条款</w:t>
          </w:r>
          <w:r>
            <w:tab/>
          </w:r>
          <w:r>
            <w:fldChar w:fldCharType="begin"/>
          </w:r>
          <w:r>
            <w:instrText xml:space="preserve"> PAGEREF _Toc148 \h </w:instrText>
          </w:r>
          <w:r>
            <w:fldChar w:fldCharType="separate"/>
          </w:r>
          <w:r>
            <w:t>11</w:t>
          </w:r>
          <w:r>
            <w:fldChar w:fldCharType="end"/>
          </w:r>
          <w:r>
            <w:rPr>
              <w:szCs w:val="24"/>
            </w:rPr>
            <w:fldChar w:fldCharType="end"/>
          </w:r>
        </w:p>
        <w:p w14:paraId="069E84F4">
          <w:pPr>
            <w:pStyle w:val="13"/>
            <w:tabs>
              <w:tab w:val="right" w:leader="dot" w:pos="8306"/>
              <w:tab w:val="clear" w:pos="8296"/>
            </w:tabs>
          </w:pPr>
          <w:r>
            <w:rPr>
              <w:szCs w:val="24"/>
            </w:rPr>
            <w:fldChar w:fldCharType="begin"/>
          </w:r>
          <w:r>
            <w:rPr>
              <w:szCs w:val="24"/>
            </w:rPr>
            <w:instrText xml:space="preserve"> HYPERLINK \l _Toc17346 </w:instrText>
          </w:r>
          <w:r>
            <w:rPr>
              <w:szCs w:val="24"/>
            </w:rPr>
            <w:fldChar w:fldCharType="separate"/>
          </w:r>
          <w:r>
            <w:rPr>
              <w:rFonts w:hint="eastAsia" w:ascii="黑体" w:hAnsi="黑体" w:eastAsia="黑体" w:cs="黑体"/>
              <w:szCs w:val="32"/>
            </w:rPr>
            <w:t>四、 收益分配与亏损承担</w:t>
          </w:r>
          <w:r>
            <w:tab/>
          </w:r>
          <w:r>
            <w:fldChar w:fldCharType="begin"/>
          </w:r>
          <w:r>
            <w:instrText xml:space="preserve"> PAGEREF _Toc17346 \h </w:instrText>
          </w:r>
          <w:r>
            <w:fldChar w:fldCharType="separate"/>
          </w:r>
          <w:r>
            <w:t>11</w:t>
          </w:r>
          <w:r>
            <w:fldChar w:fldCharType="end"/>
          </w:r>
          <w:r>
            <w:rPr>
              <w:szCs w:val="24"/>
            </w:rPr>
            <w:fldChar w:fldCharType="end"/>
          </w:r>
        </w:p>
        <w:p w14:paraId="00CDC8FF">
          <w:pPr>
            <w:pStyle w:val="14"/>
            <w:tabs>
              <w:tab w:val="right" w:leader="dot" w:pos="8306"/>
            </w:tabs>
          </w:pPr>
          <w:r>
            <w:rPr>
              <w:szCs w:val="24"/>
            </w:rPr>
            <w:fldChar w:fldCharType="begin"/>
          </w:r>
          <w:r>
            <w:rPr>
              <w:szCs w:val="24"/>
            </w:rPr>
            <w:instrText xml:space="preserve"> HYPERLINK \l _Toc6055 </w:instrText>
          </w:r>
          <w:r>
            <w:rPr>
              <w:szCs w:val="24"/>
            </w:rPr>
            <w:fldChar w:fldCharType="separate"/>
          </w:r>
          <w:r>
            <w:rPr>
              <w:rFonts w:hint="eastAsia" w:ascii="楷体" w:hAnsi="楷体" w:eastAsia="楷体" w:cs="楷体"/>
              <w:szCs w:val="28"/>
            </w:rPr>
            <w:t>（一） 收益分配</w:t>
          </w:r>
          <w:r>
            <w:tab/>
          </w:r>
          <w:r>
            <w:fldChar w:fldCharType="begin"/>
          </w:r>
          <w:r>
            <w:instrText xml:space="preserve"> PAGEREF _Toc6055 \h </w:instrText>
          </w:r>
          <w:r>
            <w:fldChar w:fldCharType="separate"/>
          </w:r>
          <w:r>
            <w:t>11</w:t>
          </w:r>
          <w:r>
            <w:fldChar w:fldCharType="end"/>
          </w:r>
          <w:r>
            <w:rPr>
              <w:szCs w:val="24"/>
            </w:rPr>
            <w:fldChar w:fldCharType="end"/>
          </w:r>
        </w:p>
        <w:p w14:paraId="7D8AFCFD">
          <w:pPr>
            <w:pStyle w:val="14"/>
            <w:tabs>
              <w:tab w:val="right" w:leader="dot" w:pos="8306"/>
            </w:tabs>
          </w:pPr>
          <w:r>
            <w:rPr>
              <w:szCs w:val="24"/>
            </w:rPr>
            <w:fldChar w:fldCharType="begin"/>
          </w:r>
          <w:r>
            <w:rPr>
              <w:szCs w:val="24"/>
            </w:rPr>
            <w:instrText xml:space="preserve"> HYPERLINK \l _Toc23645 </w:instrText>
          </w:r>
          <w:r>
            <w:rPr>
              <w:szCs w:val="24"/>
            </w:rPr>
            <w:fldChar w:fldCharType="separate"/>
          </w:r>
          <w:r>
            <w:rPr>
              <w:rFonts w:hint="eastAsia" w:ascii="楷体" w:hAnsi="楷体" w:eastAsia="楷体" w:cs="楷体"/>
              <w:szCs w:val="28"/>
            </w:rPr>
            <w:t>（二） 亏损承担</w:t>
          </w:r>
          <w:r>
            <w:tab/>
          </w:r>
          <w:r>
            <w:fldChar w:fldCharType="begin"/>
          </w:r>
          <w:r>
            <w:instrText xml:space="preserve"> PAGEREF _Toc23645 \h </w:instrText>
          </w:r>
          <w:r>
            <w:fldChar w:fldCharType="separate"/>
          </w:r>
          <w:r>
            <w:t>11</w:t>
          </w:r>
          <w:r>
            <w:fldChar w:fldCharType="end"/>
          </w:r>
          <w:r>
            <w:rPr>
              <w:szCs w:val="24"/>
            </w:rPr>
            <w:fldChar w:fldCharType="end"/>
          </w:r>
        </w:p>
        <w:p w14:paraId="10BD4E32">
          <w:pPr>
            <w:pStyle w:val="13"/>
            <w:tabs>
              <w:tab w:val="right" w:leader="dot" w:pos="8306"/>
              <w:tab w:val="clear" w:pos="8296"/>
            </w:tabs>
          </w:pPr>
          <w:r>
            <w:rPr>
              <w:szCs w:val="24"/>
            </w:rPr>
            <w:fldChar w:fldCharType="begin"/>
          </w:r>
          <w:r>
            <w:rPr>
              <w:szCs w:val="24"/>
            </w:rPr>
            <w:instrText xml:space="preserve"> HYPERLINK \l _Toc17149 </w:instrText>
          </w:r>
          <w:r>
            <w:rPr>
              <w:szCs w:val="24"/>
            </w:rPr>
            <w:fldChar w:fldCharType="separate"/>
          </w:r>
          <w:r>
            <w:rPr>
              <w:rFonts w:hint="eastAsia" w:ascii="黑体" w:hAnsi="黑体" w:eastAsia="黑体" w:cs="黑体"/>
              <w:szCs w:val="32"/>
            </w:rPr>
            <w:t>五、 让利</w:t>
          </w:r>
          <w:r>
            <w:tab/>
          </w:r>
          <w:r>
            <w:fldChar w:fldCharType="begin"/>
          </w:r>
          <w:r>
            <w:instrText xml:space="preserve"> PAGEREF _Toc17149 \h </w:instrText>
          </w:r>
          <w:r>
            <w:fldChar w:fldCharType="separate"/>
          </w:r>
          <w:r>
            <w:t>12</w:t>
          </w:r>
          <w:r>
            <w:fldChar w:fldCharType="end"/>
          </w:r>
          <w:r>
            <w:rPr>
              <w:szCs w:val="24"/>
            </w:rPr>
            <w:fldChar w:fldCharType="end"/>
          </w:r>
        </w:p>
        <w:p w14:paraId="72FF1081">
          <w:pPr>
            <w:pStyle w:val="13"/>
            <w:tabs>
              <w:tab w:val="right" w:leader="dot" w:pos="8306"/>
              <w:tab w:val="clear" w:pos="8296"/>
            </w:tabs>
          </w:pPr>
          <w:r>
            <w:rPr>
              <w:szCs w:val="24"/>
            </w:rPr>
            <w:fldChar w:fldCharType="begin"/>
          </w:r>
          <w:r>
            <w:rPr>
              <w:szCs w:val="24"/>
            </w:rPr>
            <w:instrText xml:space="preserve"> HYPERLINK \l _Toc20231 </w:instrText>
          </w:r>
          <w:r>
            <w:rPr>
              <w:szCs w:val="24"/>
            </w:rPr>
            <w:fldChar w:fldCharType="separate"/>
          </w:r>
          <w:r>
            <w:rPr>
              <w:rFonts w:hint="eastAsia" w:ascii="黑体" w:hAnsi="黑体" w:eastAsia="黑体" w:cs="黑体"/>
              <w:szCs w:val="32"/>
            </w:rPr>
            <w:t>六、 储备项目</w:t>
          </w:r>
          <w:r>
            <w:tab/>
          </w:r>
          <w:r>
            <w:fldChar w:fldCharType="begin"/>
          </w:r>
          <w:r>
            <w:instrText xml:space="preserve"> PAGEREF _Toc20231 \h </w:instrText>
          </w:r>
          <w:r>
            <w:fldChar w:fldCharType="separate"/>
          </w:r>
          <w:r>
            <w:t>12</w:t>
          </w:r>
          <w:r>
            <w:fldChar w:fldCharType="end"/>
          </w:r>
          <w:r>
            <w:rPr>
              <w:szCs w:val="24"/>
            </w:rPr>
            <w:fldChar w:fldCharType="end"/>
          </w:r>
        </w:p>
        <w:p w14:paraId="63BBA23B">
          <w:pPr>
            <w:pStyle w:val="13"/>
            <w:tabs>
              <w:tab w:val="right" w:leader="dot" w:pos="8306"/>
              <w:tab w:val="clear" w:pos="8296"/>
            </w:tabs>
          </w:pPr>
          <w:r>
            <w:rPr>
              <w:szCs w:val="24"/>
            </w:rPr>
            <w:fldChar w:fldCharType="begin"/>
          </w:r>
          <w:r>
            <w:rPr>
              <w:szCs w:val="24"/>
            </w:rPr>
            <w:instrText xml:space="preserve"> HYPERLINK \l _Toc4250 </w:instrText>
          </w:r>
          <w:r>
            <w:rPr>
              <w:szCs w:val="24"/>
            </w:rPr>
            <w:fldChar w:fldCharType="separate"/>
          </w:r>
          <w:r>
            <w:rPr>
              <w:rFonts w:hint="eastAsia" w:ascii="黑体" w:hAnsi="黑体" w:eastAsia="黑体" w:cs="黑体"/>
              <w:szCs w:val="32"/>
            </w:rPr>
            <w:t>七、 基金目标及预期成效</w:t>
          </w:r>
          <w:r>
            <w:tab/>
          </w:r>
          <w:r>
            <w:fldChar w:fldCharType="begin"/>
          </w:r>
          <w:r>
            <w:instrText xml:space="preserve"> PAGEREF _Toc4250 \h </w:instrText>
          </w:r>
          <w:r>
            <w:fldChar w:fldCharType="separate"/>
          </w:r>
          <w:r>
            <w:t>12</w:t>
          </w:r>
          <w:r>
            <w:fldChar w:fldCharType="end"/>
          </w:r>
          <w:r>
            <w:rPr>
              <w:szCs w:val="24"/>
            </w:rPr>
            <w:fldChar w:fldCharType="end"/>
          </w:r>
        </w:p>
        <w:p w14:paraId="2ABC4A70">
          <w:pPr>
            <w:spacing w:line="360" w:lineRule="auto"/>
            <w:rPr>
              <w:rFonts w:ascii="黑体" w:hAnsi="黑体" w:eastAsia="黑体" w:cs="黑体"/>
              <w:sz w:val="24"/>
              <w:szCs w:val="24"/>
            </w:rPr>
          </w:pPr>
          <w:r>
            <w:rPr>
              <w:szCs w:val="24"/>
            </w:rPr>
            <w:fldChar w:fldCharType="end"/>
          </w:r>
        </w:p>
      </w:sdtContent>
    </w:sdt>
    <w:p w14:paraId="60A4505F">
      <w:pPr>
        <w:overflowPunct w:val="0"/>
        <w:spacing w:line="360" w:lineRule="auto"/>
        <w:ind w:firstLine="560" w:firstLineChars="200"/>
        <w:outlineLvl w:val="0"/>
        <w:rPr>
          <w:rFonts w:ascii="黑体" w:hAnsi="黑体" w:eastAsia="黑体" w:cs="黑体"/>
          <w:sz w:val="28"/>
          <w:szCs w:val="28"/>
        </w:rPr>
        <w:sectPr>
          <w:footerReference r:id="rId5" w:type="default"/>
          <w:pgSz w:w="11906" w:h="16838"/>
          <w:pgMar w:top="1440" w:right="1800" w:bottom="1440" w:left="1800" w:header="851" w:footer="992" w:gutter="0"/>
          <w:pgNumType w:start="1"/>
          <w:cols w:space="425" w:num="1"/>
          <w:docGrid w:type="lines" w:linePitch="312" w:charSpace="0"/>
        </w:sectPr>
      </w:pPr>
      <w:bookmarkStart w:id="2" w:name="_Toc379"/>
      <w:bookmarkStart w:id="3" w:name="_Toc152761978"/>
      <w:bookmarkStart w:id="4" w:name="_Toc9025"/>
      <w:bookmarkStart w:id="5" w:name="_Toc152318118"/>
      <w:bookmarkStart w:id="6" w:name="_Toc27105"/>
    </w:p>
    <w:bookmarkEnd w:id="2"/>
    <w:bookmarkEnd w:id="3"/>
    <w:bookmarkEnd w:id="4"/>
    <w:bookmarkEnd w:id="5"/>
    <w:bookmarkEnd w:id="6"/>
    <w:p w14:paraId="75F7C707">
      <w:pPr>
        <w:numPr>
          <w:ilvl w:val="0"/>
          <w:numId w:val="1"/>
        </w:numPr>
        <w:overflowPunct w:val="0"/>
        <w:spacing w:line="600" w:lineRule="exact"/>
        <w:outlineLvl w:val="0"/>
        <w:rPr>
          <w:rFonts w:ascii="黑体" w:hAnsi="黑体" w:eastAsia="黑体" w:cs="黑体"/>
          <w:sz w:val="32"/>
          <w:szCs w:val="32"/>
        </w:rPr>
      </w:pPr>
      <w:bookmarkStart w:id="7" w:name="_Toc23707"/>
      <w:bookmarkStart w:id="8" w:name="_Toc25683"/>
      <w:bookmarkStart w:id="9" w:name="_Toc152318123"/>
      <w:r>
        <w:rPr>
          <w:rFonts w:hint="eastAsia" w:ascii="黑体" w:hAnsi="黑体" w:eastAsia="黑体" w:cs="黑体"/>
          <w:sz w:val="32"/>
          <w:szCs w:val="32"/>
        </w:rPr>
        <w:t>基金基本要素</w:t>
      </w:r>
      <w:bookmarkEnd w:id="7"/>
      <w:bookmarkEnd w:id="8"/>
      <w:bookmarkEnd w:id="9"/>
    </w:p>
    <w:p w14:paraId="2BD5331E">
      <w:pPr>
        <w:pStyle w:val="17"/>
        <w:numPr>
          <w:ilvl w:val="0"/>
          <w:numId w:val="2"/>
        </w:numPr>
        <w:spacing w:line="600" w:lineRule="exact"/>
        <w:ind w:left="0" w:leftChars="0" w:firstLine="420" w:firstLineChars="0"/>
        <w:jc w:val="both"/>
        <w:outlineLvl w:val="1"/>
        <w:rPr>
          <w:rFonts w:ascii="楷体" w:hAnsi="楷体" w:eastAsia="楷体" w:cs="楷体"/>
          <w:sz w:val="28"/>
          <w:szCs w:val="28"/>
        </w:rPr>
      </w:pPr>
      <w:bookmarkStart w:id="10" w:name="_Toc152318124"/>
      <w:bookmarkStart w:id="11" w:name="_Toc23869"/>
      <w:bookmarkStart w:id="12" w:name="_Toc15892"/>
      <w:bookmarkStart w:id="13" w:name="_Toc28688"/>
      <w:bookmarkStart w:id="14" w:name="_Toc29785"/>
      <w:r>
        <w:rPr>
          <w:rFonts w:hint="eastAsia" w:ascii="楷体" w:hAnsi="楷体" w:eastAsia="楷体" w:cs="楷体"/>
          <w:sz w:val="28"/>
          <w:szCs w:val="28"/>
        </w:rPr>
        <w:t>基金名称</w:t>
      </w:r>
      <w:bookmarkEnd w:id="10"/>
      <w:bookmarkEnd w:id="11"/>
      <w:bookmarkEnd w:id="12"/>
      <w:bookmarkEnd w:id="13"/>
      <w:bookmarkEnd w:id="14"/>
    </w:p>
    <w:p w14:paraId="7F522715">
      <w:pPr>
        <w:pStyle w:val="17"/>
        <w:spacing w:line="600" w:lineRule="exact"/>
        <w:ind w:left="0" w:firstLine="560"/>
        <w:jc w:val="both"/>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color w:val="FF0000"/>
          <w:sz w:val="28"/>
          <w:szCs w:val="28"/>
          <w:u w:val="single"/>
        </w:rPr>
        <w:t>xxx基金（暂定名）</w:t>
      </w:r>
      <w:r>
        <w:rPr>
          <w:rFonts w:ascii="Times New Roman" w:hAnsi="Times New Roman" w:eastAsia="仿宋_GB2312" w:cs="Times New Roman"/>
          <w:color w:val="000000" w:themeColor="text1"/>
          <w:sz w:val="28"/>
          <w:szCs w:val="28"/>
          <w14:textFill>
            <w14:solidFill>
              <w14:schemeClr w14:val="tx1"/>
            </w14:solidFill>
          </w14:textFill>
        </w:rPr>
        <w:t>（以工商登记备案为准）。</w:t>
      </w:r>
    </w:p>
    <w:p w14:paraId="062C0D26">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15" w:name="_Toc25688"/>
      <w:bookmarkStart w:id="16" w:name="_Toc152318125"/>
      <w:bookmarkStart w:id="17" w:name="_Toc4242"/>
      <w:bookmarkStart w:id="18" w:name="_Toc136"/>
      <w:bookmarkStart w:id="19" w:name="_Toc19576"/>
      <w:r>
        <w:rPr>
          <w:rFonts w:hint="eastAsia" w:ascii="楷体" w:hAnsi="楷体" w:eastAsia="楷体" w:cs="楷体"/>
          <w:sz w:val="28"/>
          <w:szCs w:val="28"/>
        </w:rPr>
        <w:t>基金组织形式</w:t>
      </w:r>
      <w:bookmarkEnd w:id="15"/>
      <w:bookmarkEnd w:id="16"/>
      <w:bookmarkEnd w:id="17"/>
      <w:bookmarkEnd w:id="18"/>
      <w:bookmarkEnd w:id="19"/>
    </w:p>
    <w:p w14:paraId="0DED2187">
      <w:pPr>
        <w:pStyle w:val="17"/>
        <w:spacing w:line="600" w:lineRule="exact"/>
        <w:ind w:left="0" w:firstLine="560"/>
        <w:jc w:val="both"/>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基金组织形式为有限合伙企业。</w:t>
      </w:r>
    </w:p>
    <w:p w14:paraId="64C7A14A">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20" w:name="_Toc17691"/>
      <w:bookmarkStart w:id="21" w:name="_Toc8620"/>
      <w:bookmarkStart w:id="22" w:name="_Toc15134"/>
      <w:bookmarkStart w:id="23" w:name="_Toc9509"/>
      <w:bookmarkStart w:id="24" w:name="_Toc152318126"/>
      <w:r>
        <w:rPr>
          <w:rFonts w:hint="eastAsia" w:ascii="楷体" w:hAnsi="楷体" w:eastAsia="楷体" w:cs="楷体"/>
          <w:sz w:val="28"/>
          <w:szCs w:val="28"/>
        </w:rPr>
        <w:t>基金注册地址</w:t>
      </w:r>
      <w:bookmarkEnd w:id="20"/>
      <w:bookmarkEnd w:id="21"/>
      <w:bookmarkEnd w:id="22"/>
      <w:bookmarkEnd w:id="23"/>
      <w:bookmarkEnd w:id="24"/>
    </w:p>
    <w:p w14:paraId="7A63E397">
      <w:pPr>
        <w:pStyle w:val="17"/>
        <w:spacing w:line="600" w:lineRule="exact"/>
        <w:ind w:left="0" w:firstLine="560"/>
        <w:jc w:val="both"/>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注册地为</w:t>
      </w:r>
      <w:r>
        <w:rPr>
          <w:rFonts w:hint="eastAsia" w:ascii="Times New Roman" w:hAnsi="Times New Roman" w:eastAsia="仿宋_GB2312" w:cs="Times New Roman"/>
          <w:color w:val="FF0000"/>
          <w:sz w:val="28"/>
          <w:szCs w:val="28"/>
          <w:u w:val="single"/>
        </w:rPr>
        <w:t>xx省xx市xx区</w:t>
      </w:r>
      <w:r>
        <w:rPr>
          <w:rFonts w:hint="eastAsia" w:ascii="仿宋_GB2312" w:hAnsi="仿宋_GB2312" w:eastAsia="仿宋_GB2312" w:cs="仿宋_GB2312"/>
          <w:color w:val="000000" w:themeColor="text1"/>
          <w:szCs w:val="40"/>
          <w14:textFill>
            <w14:solidFill>
              <w14:schemeClr w14:val="tx1"/>
            </w14:solidFill>
          </w14:textFill>
        </w:rPr>
        <w:t>。</w:t>
      </w:r>
    </w:p>
    <w:p w14:paraId="03E9A9B1">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25" w:name="_Toc309"/>
      <w:bookmarkStart w:id="26" w:name="_Toc152318127"/>
      <w:bookmarkStart w:id="27" w:name="_Toc23138"/>
      <w:bookmarkStart w:id="28" w:name="_Toc7612"/>
      <w:bookmarkStart w:id="29" w:name="_Toc29760"/>
      <w:r>
        <w:rPr>
          <w:rFonts w:hint="eastAsia" w:ascii="楷体" w:hAnsi="楷体" w:eastAsia="楷体" w:cs="楷体"/>
          <w:sz w:val="28"/>
          <w:szCs w:val="28"/>
        </w:rPr>
        <w:t>基金存续期限</w:t>
      </w:r>
      <w:bookmarkEnd w:id="25"/>
      <w:bookmarkEnd w:id="26"/>
      <w:bookmarkEnd w:id="27"/>
      <w:bookmarkEnd w:id="28"/>
      <w:bookmarkEnd w:id="29"/>
    </w:p>
    <w:p w14:paraId="579201B9">
      <w:pPr>
        <w:pStyle w:val="17"/>
        <w:spacing w:line="600" w:lineRule="exact"/>
        <w:ind w:left="0" w:firstLine="560"/>
        <w:jc w:val="both"/>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基金存续期限为</w:t>
      </w:r>
      <w:r>
        <w:rPr>
          <w:rFonts w:hint="eastAsia" w:ascii="Times New Roman" w:hAnsi="Times New Roman" w:eastAsia="仿宋_GB2312" w:cs="Times New Roman"/>
          <w:color w:val="FF0000"/>
          <w:sz w:val="28"/>
          <w:szCs w:val="28"/>
          <w:u w:val="single"/>
        </w:rPr>
        <w:t>x年</w:t>
      </w:r>
      <w:r>
        <w:rPr>
          <w:rFonts w:ascii="Times New Roman" w:hAnsi="Times New Roman" w:eastAsia="仿宋_GB2312" w:cs="Times New Roman"/>
          <w:color w:val="000000" w:themeColor="text1"/>
          <w:sz w:val="28"/>
          <w:szCs w:val="28"/>
          <w14:textFill>
            <w14:solidFill>
              <w14:schemeClr w14:val="tx1"/>
            </w14:solidFill>
          </w14:textFill>
        </w:rPr>
        <w:t>，</w:t>
      </w:r>
      <w:r>
        <w:rPr>
          <w:rFonts w:hint="eastAsia" w:ascii="Times New Roman" w:hAnsi="Times New Roman" w:eastAsia="仿宋_GB2312" w:cs="Times New Roman"/>
          <w:color w:val="FF0000"/>
          <w:sz w:val="28"/>
          <w:szCs w:val="28"/>
          <w:u w:val="single"/>
        </w:rPr>
        <w:t>前x年</w:t>
      </w:r>
      <w:r>
        <w:rPr>
          <w:rFonts w:ascii="Times New Roman" w:hAnsi="Times New Roman" w:eastAsia="仿宋_GB2312" w:cs="Times New Roman"/>
          <w:color w:val="000000" w:themeColor="text1"/>
          <w:sz w:val="28"/>
          <w:szCs w:val="28"/>
          <w14:textFill>
            <w14:solidFill>
              <w14:schemeClr w14:val="tx1"/>
            </w14:solidFill>
          </w14:textFill>
        </w:rPr>
        <w:t>为投资期，</w:t>
      </w:r>
      <w:r>
        <w:rPr>
          <w:rFonts w:hint="eastAsia" w:ascii="Times New Roman" w:hAnsi="Times New Roman" w:eastAsia="仿宋_GB2312" w:cs="Times New Roman"/>
          <w:color w:val="FF0000"/>
          <w:sz w:val="28"/>
          <w:szCs w:val="28"/>
          <w:u w:val="single"/>
        </w:rPr>
        <w:t>后x年</w:t>
      </w:r>
      <w:r>
        <w:rPr>
          <w:rFonts w:ascii="Times New Roman" w:hAnsi="Times New Roman" w:eastAsia="仿宋_GB2312" w:cs="Times New Roman"/>
          <w:color w:val="000000" w:themeColor="text1"/>
          <w:sz w:val="28"/>
          <w:szCs w:val="28"/>
          <w14:textFill>
            <w14:solidFill>
              <w14:schemeClr w14:val="tx1"/>
            </w14:solidFill>
          </w14:textFill>
        </w:rPr>
        <w:t>为退出期，</w:t>
      </w:r>
      <w:r>
        <w:rPr>
          <w:rFonts w:hint="eastAsia" w:ascii="Times New Roman" w:hAnsi="Times New Roman" w:eastAsia="仿宋_GB2312" w:cs="Times New Roman"/>
          <w:color w:val="000000" w:themeColor="text1"/>
          <w:sz w:val="28"/>
          <w:szCs w:val="28"/>
          <w14:textFill>
            <w14:solidFill>
              <w14:schemeClr w14:val="tx1"/>
            </w14:solidFill>
          </w14:textFill>
        </w:rPr>
        <w:t>经全体合伙人同意存续期可延长</w:t>
      </w:r>
      <w:r>
        <w:rPr>
          <w:rFonts w:hint="eastAsia" w:ascii="Times New Roman" w:hAnsi="Times New Roman" w:eastAsia="仿宋_GB2312" w:cs="Times New Roman"/>
          <w:color w:val="FF0000"/>
          <w:sz w:val="28"/>
          <w:szCs w:val="28"/>
          <w:u w:val="single"/>
        </w:rPr>
        <w:t>x年</w:t>
      </w:r>
      <w:r>
        <w:rPr>
          <w:rFonts w:ascii="Times New Roman" w:hAnsi="Times New Roman" w:eastAsia="仿宋_GB2312" w:cs="Times New Roman"/>
          <w:color w:val="000000" w:themeColor="text1"/>
          <w:sz w:val="28"/>
          <w:szCs w:val="28"/>
          <w14:textFill>
            <w14:solidFill>
              <w14:schemeClr w14:val="tx1"/>
            </w14:solidFill>
          </w14:textFill>
        </w:rPr>
        <w:t>。</w:t>
      </w:r>
    </w:p>
    <w:p w14:paraId="6AF8AECE">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30" w:name="_Toc152318128"/>
      <w:bookmarkStart w:id="31" w:name="_Toc24558"/>
      <w:bookmarkStart w:id="32" w:name="_Toc6908"/>
      <w:bookmarkStart w:id="33" w:name="_Toc22217"/>
      <w:bookmarkStart w:id="34" w:name="_Toc15241"/>
      <w:r>
        <w:rPr>
          <w:rFonts w:hint="eastAsia" w:ascii="楷体" w:hAnsi="楷体" w:eastAsia="楷体" w:cs="楷体"/>
          <w:sz w:val="28"/>
          <w:szCs w:val="28"/>
        </w:rPr>
        <w:t>基金规模</w:t>
      </w:r>
      <w:bookmarkEnd w:id="30"/>
      <w:bookmarkEnd w:id="31"/>
      <w:bookmarkEnd w:id="32"/>
      <w:bookmarkEnd w:id="33"/>
      <w:bookmarkEnd w:id="34"/>
    </w:p>
    <w:p w14:paraId="3E6C5276">
      <w:pPr>
        <w:pStyle w:val="17"/>
        <w:spacing w:line="600" w:lineRule="exact"/>
        <w:ind w:left="0"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基金采用认缴制，以现金方式出资。基金总规模</w:t>
      </w:r>
      <w:r>
        <w:rPr>
          <w:rFonts w:hint="eastAsia" w:ascii="Times New Roman" w:hAnsi="Times New Roman" w:eastAsia="仿宋_GB2312" w:cs="Times New Roman"/>
          <w:color w:val="FF0000"/>
          <w:sz w:val="28"/>
          <w:szCs w:val="28"/>
          <w:u w:val="single"/>
        </w:rPr>
        <w:t>xx万元</w:t>
      </w:r>
      <w:r>
        <w:rPr>
          <w:rFonts w:ascii="Times New Roman" w:hAnsi="Times New Roman" w:eastAsia="仿宋_GB2312" w:cs="Times New Roman"/>
          <w:sz w:val="28"/>
          <w:szCs w:val="28"/>
        </w:rPr>
        <w:t>人民币，</w:t>
      </w:r>
      <w:r>
        <w:rPr>
          <w:rFonts w:hint="eastAsia" w:ascii="Times New Roman" w:hAnsi="Times New Roman" w:eastAsia="仿宋_GB2312" w:cs="Times New Roman"/>
          <w:sz w:val="28"/>
          <w:szCs w:val="28"/>
        </w:rPr>
        <w:t>具体出资情况如下表：</w:t>
      </w:r>
    </w:p>
    <w:tbl>
      <w:tblPr>
        <w:tblStyle w:val="18"/>
        <w:tblW w:w="48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4"/>
        <w:gridCol w:w="1413"/>
        <w:gridCol w:w="1416"/>
        <w:gridCol w:w="906"/>
        <w:gridCol w:w="731"/>
      </w:tblGrid>
      <w:tr w14:paraId="0A14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289" w:type="pct"/>
            <w:noWrap/>
            <w:vAlign w:val="center"/>
          </w:tcPr>
          <w:p w14:paraId="641D5611">
            <w:pPr>
              <w:spacing w:line="600" w:lineRule="exact"/>
              <w:jc w:val="center"/>
              <w:rPr>
                <w:rFonts w:ascii="仿宋" w:hAnsi="仿宋" w:eastAsia="仿宋" w:cs="方正仿宋_GBK"/>
                <w:b/>
                <w:sz w:val="22"/>
              </w:rPr>
            </w:pPr>
            <w:r>
              <w:rPr>
                <w:rFonts w:hint="eastAsia" w:ascii="仿宋" w:hAnsi="仿宋" w:eastAsia="仿宋" w:cs="方正仿宋_GBK"/>
                <w:b/>
                <w:sz w:val="22"/>
              </w:rPr>
              <w:t>合伙人名称</w:t>
            </w:r>
          </w:p>
        </w:tc>
        <w:tc>
          <w:tcPr>
            <w:tcW w:w="856" w:type="pct"/>
            <w:noWrap/>
            <w:vAlign w:val="center"/>
          </w:tcPr>
          <w:p w14:paraId="4B76543A">
            <w:pPr>
              <w:spacing w:line="600" w:lineRule="exact"/>
              <w:jc w:val="center"/>
              <w:rPr>
                <w:rFonts w:ascii="仿宋" w:hAnsi="仿宋" w:eastAsia="仿宋" w:cs="方正仿宋_GBK"/>
                <w:b/>
                <w:sz w:val="22"/>
              </w:rPr>
            </w:pPr>
            <w:r>
              <w:rPr>
                <w:rFonts w:hint="eastAsia" w:ascii="仿宋" w:hAnsi="仿宋" w:eastAsia="仿宋" w:cs="方正仿宋_GBK"/>
                <w:b/>
                <w:sz w:val="22"/>
              </w:rPr>
              <w:t>合伙人性质</w:t>
            </w:r>
          </w:p>
        </w:tc>
        <w:tc>
          <w:tcPr>
            <w:tcW w:w="858" w:type="pct"/>
            <w:noWrap/>
            <w:vAlign w:val="center"/>
          </w:tcPr>
          <w:p w14:paraId="0E438B62">
            <w:pPr>
              <w:spacing w:line="600" w:lineRule="exact"/>
              <w:jc w:val="center"/>
              <w:rPr>
                <w:rFonts w:ascii="仿宋" w:hAnsi="仿宋" w:eastAsia="仿宋" w:cs="方正仿宋_GBK"/>
                <w:b/>
                <w:sz w:val="22"/>
              </w:rPr>
            </w:pPr>
            <w:r>
              <w:rPr>
                <w:rFonts w:hint="eastAsia" w:ascii="仿宋" w:hAnsi="仿宋" w:eastAsia="仿宋" w:cs="方正仿宋_GBK"/>
                <w:b/>
                <w:sz w:val="22"/>
              </w:rPr>
              <w:t>认缴出资额（万元）</w:t>
            </w:r>
          </w:p>
        </w:tc>
        <w:tc>
          <w:tcPr>
            <w:tcW w:w="550" w:type="pct"/>
            <w:noWrap/>
            <w:vAlign w:val="center"/>
          </w:tcPr>
          <w:p w14:paraId="21EBD862">
            <w:pPr>
              <w:spacing w:line="600" w:lineRule="exact"/>
              <w:jc w:val="center"/>
              <w:rPr>
                <w:rFonts w:ascii="仿宋" w:hAnsi="仿宋" w:eastAsia="仿宋" w:cs="方正仿宋_GBK"/>
                <w:b/>
                <w:sz w:val="22"/>
              </w:rPr>
            </w:pPr>
            <w:r>
              <w:rPr>
                <w:rFonts w:hint="eastAsia" w:ascii="仿宋" w:hAnsi="仿宋" w:eastAsia="仿宋" w:cs="方正仿宋_GBK"/>
                <w:b/>
                <w:sz w:val="22"/>
              </w:rPr>
              <w:t>认缴</w:t>
            </w:r>
          </w:p>
          <w:p w14:paraId="0D35ABFB">
            <w:pPr>
              <w:spacing w:line="600" w:lineRule="exact"/>
              <w:jc w:val="center"/>
              <w:rPr>
                <w:rFonts w:ascii="仿宋" w:hAnsi="仿宋" w:eastAsia="仿宋" w:cs="方正仿宋_GBK"/>
                <w:b/>
                <w:sz w:val="22"/>
              </w:rPr>
            </w:pPr>
            <w:r>
              <w:rPr>
                <w:rFonts w:hint="eastAsia" w:ascii="仿宋" w:hAnsi="仿宋" w:eastAsia="仿宋" w:cs="方正仿宋_GBK"/>
                <w:b/>
                <w:sz w:val="22"/>
              </w:rPr>
              <w:t>比例</w:t>
            </w:r>
          </w:p>
        </w:tc>
        <w:tc>
          <w:tcPr>
            <w:tcW w:w="444" w:type="pct"/>
            <w:noWrap/>
            <w:vAlign w:val="center"/>
          </w:tcPr>
          <w:p w14:paraId="622B431A">
            <w:pPr>
              <w:spacing w:line="600" w:lineRule="exact"/>
              <w:jc w:val="center"/>
              <w:rPr>
                <w:rFonts w:ascii="仿宋" w:hAnsi="仿宋" w:eastAsia="仿宋" w:cs="方正仿宋_GBK"/>
                <w:b/>
                <w:sz w:val="22"/>
              </w:rPr>
            </w:pPr>
            <w:r>
              <w:rPr>
                <w:rFonts w:hint="eastAsia" w:ascii="仿宋" w:hAnsi="仿宋" w:eastAsia="仿宋" w:cs="方正仿宋_GBK"/>
                <w:b/>
                <w:sz w:val="22"/>
              </w:rPr>
              <w:t>出资形式</w:t>
            </w:r>
          </w:p>
        </w:tc>
      </w:tr>
      <w:tr w14:paraId="6AC9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289" w:type="pct"/>
            <w:noWrap/>
            <w:vAlign w:val="center"/>
          </w:tcPr>
          <w:p w14:paraId="642CA566">
            <w:pPr>
              <w:spacing w:line="600" w:lineRule="exact"/>
              <w:jc w:val="center"/>
              <w:rPr>
                <w:rFonts w:ascii="仿宋" w:hAnsi="仿宋" w:eastAsia="仿宋" w:cs="方正仿宋_GBK"/>
                <w:sz w:val="22"/>
              </w:rPr>
            </w:pPr>
          </w:p>
        </w:tc>
        <w:tc>
          <w:tcPr>
            <w:tcW w:w="856" w:type="pct"/>
            <w:noWrap/>
            <w:vAlign w:val="center"/>
          </w:tcPr>
          <w:p w14:paraId="6380B06E">
            <w:pPr>
              <w:spacing w:line="600" w:lineRule="exact"/>
              <w:jc w:val="center"/>
              <w:rPr>
                <w:rFonts w:ascii="仿宋" w:hAnsi="仿宋" w:eastAsia="仿宋" w:cs="方正仿宋_GBK"/>
                <w:sz w:val="22"/>
              </w:rPr>
            </w:pPr>
            <w:r>
              <w:rPr>
                <w:rFonts w:hint="eastAsia" w:ascii="仿宋" w:hAnsi="仿宋" w:eastAsia="仿宋" w:cs="方正仿宋_GBK"/>
                <w:sz w:val="22"/>
              </w:rPr>
              <w:t>有限合伙人</w:t>
            </w:r>
          </w:p>
        </w:tc>
        <w:tc>
          <w:tcPr>
            <w:tcW w:w="858" w:type="pct"/>
            <w:noWrap/>
            <w:vAlign w:val="center"/>
          </w:tcPr>
          <w:p w14:paraId="67ECA3F8">
            <w:pPr>
              <w:spacing w:line="600" w:lineRule="exact"/>
              <w:jc w:val="center"/>
              <w:rPr>
                <w:rFonts w:ascii="仿宋" w:hAnsi="仿宋" w:eastAsia="仿宋" w:cs="方正仿宋_GBK"/>
                <w:sz w:val="22"/>
              </w:rPr>
            </w:pPr>
          </w:p>
        </w:tc>
        <w:tc>
          <w:tcPr>
            <w:tcW w:w="550" w:type="pct"/>
            <w:noWrap/>
            <w:vAlign w:val="center"/>
          </w:tcPr>
          <w:p w14:paraId="7C56B924">
            <w:pPr>
              <w:spacing w:line="600" w:lineRule="exact"/>
              <w:jc w:val="center"/>
              <w:rPr>
                <w:rFonts w:ascii="仿宋" w:hAnsi="仿宋" w:eastAsia="仿宋" w:cs="方正仿宋_GBK"/>
                <w:sz w:val="22"/>
              </w:rPr>
            </w:pPr>
          </w:p>
        </w:tc>
        <w:tc>
          <w:tcPr>
            <w:tcW w:w="444" w:type="pct"/>
            <w:noWrap/>
            <w:vAlign w:val="center"/>
          </w:tcPr>
          <w:p w14:paraId="1A6C2B1B">
            <w:pPr>
              <w:spacing w:line="600" w:lineRule="exact"/>
              <w:jc w:val="center"/>
              <w:rPr>
                <w:rFonts w:ascii="仿宋" w:hAnsi="仿宋" w:eastAsia="仿宋" w:cs="方正仿宋_GBK"/>
                <w:sz w:val="22"/>
              </w:rPr>
            </w:pPr>
            <w:r>
              <w:rPr>
                <w:rFonts w:hint="eastAsia" w:ascii="仿宋" w:hAnsi="仿宋" w:eastAsia="仿宋" w:cs="方正仿宋_GBK"/>
                <w:sz w:val="22"/>
              </w:rPr>
              <w:t>货币</w:t>
            </w:r>
          </w:p>
        </w:tc>
      </w:tr>
      <w:tr w14:paraId="3EC3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9" w:type="pct"/>
            <w:noWrap/>
            <w:vAlign w:val="center"/>
          </w:tcPr>
          <w:p w14:paraId="295297C1">
            <w:pPr>
              <w:spacing w:line="600" w:lineRule="exact"/>
              <w:jc w:val="center"/>
              <w:rPr>
                <w:rFonts w:ascii="仿宋" w:hAnsi="仿宋" w:eastAsia="仿宋" w:cs="方正仿宋_GBK"/>
                <w:sz w:val="22"/>
              </w:rPr>
            </w:pPr>
          </w:p>
        </w:tc>
        <w:tc>
          <w:tcPr>
            <w:tcW w:w="856" w:type="pct"/>
            <w:noWrap/>
            <w:vAlign w:val="center"/>
          </w:tcPr>
          <w:p w14:paraId="6110E701">
            <w:pPr>
              <w:spacing w:line="600" w:lineRule="exact"/>
              <w:jc w:val="center"/>
              <w:rPr>
                <w:rFonts w:ascii="仿宋" w:hAnsi="仿宋" w:eastAsia="仿宋" w:cs="方正仿宋_GBK"/>
                <w:sz w:val="22"/>
              </w:rPr>
            </w:pPr>
            <w:r>
              <w:rPr>
                <w:rFonts w:hint="eastAsia" w:ascii="仿宋" w:hAnsi="仿宋" w:eastAsia="仿宋" w:cs="方正仿宋_GBK"/>
                <w:sz w:val="22"/>
              </w:rPr>
              <w:t>有限合伙人</w:t>
            </w:r>
          </w:p>
        </w:tc>
        <w:tc>
          <w:tcPr>
            <w:tcW w:w="858" w:type="pct"/>
            <w:noWrap/>
            <w:vAlign w:val="center"/>
          </w:tcPr>
          <w:p w14:paraId="0E8B5980">
            <w:pPr>
              <w:spacing w:line="600" w:lineRule="exact"/>
              <w:jc w:val="center"/>
              <w:rPr>
                <w:rFonts w:ascii="仿宋" w:hAnsi="仿宋" w:eastAsia="仿宋" w:cs="方正仿宋_GBK"/>
                <w:sz w:val="22"/>
              </w:rPr>
            </w:pPr>
          </w:p>
        </w:tc>
        <w:tc>
          <w:tcPr>
            <w:tcW w:w="550" w:type="pct"/>
            <w:noWrap/>
            <w:vAlign w:val="center"/>
          </w:tcPr>
          <w:p w14:paraId="1DCFDA49">
            <w:pPr>
              <w:spacing w:line="600" w:lineRule="exact"/>
              <w:jc w:val="center"/>
              <w:rPr>
                <w:rFonts w:ascii="仿宋" w:hAnsi="仿宋" w:eastAsia="仿宋" w:cs="方正仿宋_GBK"/>
                <w:sz w:val="22"/>
              </w:rPr>
            </w:pPr>
          </w:p>
        </w:tc>
        <w:tc>
          <w:tcPr>
            <w:tcW w:w="444" w:type="pct"/>
            <w:noWrap/>
            <w:vAlign w:val="center"/>
          </w:tcPr>
          <w:p w14:paraId="1CFF1CC6">
            <w:pPr>
              <w:spacing w:line="600" w:lineRule="exact"/>
              <w:jc w:val="center"/>
              <w:rPr>
                <w:rFonts w:ascii="仿宋" w:hAnsi="仿宋" w:eastAsia="仿宋" w:cs="方正仿宋_GBK"/>
                <w:sz w:val="22"/>
              </w:rPr>
            </w:pPr>
            <w:r>
              <w:rPr>
                <w:rFonts w:hint="eastAsia" w:ascii="仿宋" w:hAnsi="仿宋" w:eastAsia="仿宋" w:cs="方正仿宋_GBK"/>
                <w:sz w:val="22"/>
              </w:rPr>
              <w:t>货币</w:t>
            </w:r>
          </w:p>
        </w:tc>
      </w:tr>
      <w:tr w14:paraId="6893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9" w:type="pct"/>
            <w:noWrap/>
            <w:vAlign w:val="center"/>
          </w:tcPr>
          <w:p w14:paraId="3707591F">
            <w:pPr>
              <w:spacing w:line="600" w:lineRule="exact"/>
              <w:jc w:val="center"/>
              <w:rPr>
                <w:rFonts w:ascii="仿宋" w:hAnsi="仿宋" w:eastAsia="仿宋" w:cs="方正仿宋_GBK"/>
                <w:sz w:val="22"/>
              </w:rPr>
            </w:pPr>
          </w:p>
        </w:tc>
        <w:tc>
          <w:tcPr>
            <w:tcW w:w="856" w:type="pct"/>
            <w:noWrap/>
            <w:vAlign w:val="center"/>
          </w:tcPr>
          <w:p w14:paraId="71C05D99">
            <w:pPr>
              <w:spacing w:line="600" w:lineRule="exact"/>
              <w:jc w:val="center"/>
              <w:rPr>
                <w:rFonts w:ascii="仿宋" w:hAnsi="仿宋" w:eastAsia="仿宋" w:cs="方正仿宋_GBK"/>
                <w:sz w:val="22"/>
              </w:rPr>
            </w:pPr>
            <w:r>
              <w:rPr>
                <w:rFonts w:hint="eastAsia" w:ascii="仿宋" w:hAnsi="仿宋" w:eastAsia="仿宋" w:cs="方正仿宋_GBK"/>
                <w:sz w:val="22"/>
              </w:rPr>
              <w:t>普通合伙人</w:t>
            </w:r>
          </w:p>
        </w:tc>
        <w:tc>
          <w:tcPr>
            <w:tcW w:w="858" w:type="pct"/>
            <w:noWrap/>
            <w:vAlign w:val="center"/>
          </w:tcPr>
          <w:p w14:paraId="6ABC1A3E">
            <w:pPr>
              <w:spacing w:line="600" w:lineRule="exact"/>
              <w:jc w:val="center"/>
              <w:rPr>
                <w:rFonts w:ascii="仿宋" w:hAnsi="仿宋" w:eastAsia="仿宋" w:cs="方正仿宋_GBK"/>
                <w:sz w:val="22"/>
              </w:rPr>
            </w:pPr>
          </w:p>
        </w:tc>
        <w:tc>
          <w:tcPr>
            <w:tcW w:w="550" w:type="pct"/>
            <w:noWrap/>
            <w:vAlign w:val="center"/>
          </w:tcPr>
          <w:p w14:paraId="6E85CD14">
            <w:pPr>
              <w:spacing w:line="600" w:lineRule="exact"/>
              <w:jc w:val="center"/>
              <w:rPr>
                <w:rFonts w:ascii="仿宋" w:hAnsi="仿宋" w:eastAsia="仿宋" w:cs="方正仿宋_GBK"/>
                <w:sz w:val="22"/>
              </w:rPr>
            </w:pPr>
          </w:p>
        </w:tc>
        <w:tc>
          <w:tcPr>
            <w:tcW w:w="444" w:type="pct"/>
            <w:noWrap/>
            <w:vAlign w:val="center"/>
          </w:tcPr>
          <w:p w14:paraId="4F93ADCB">
            <w:pPr>
              <w:spacing w:line="600" w:lineRule="exact"/>
              <w:jc w:val="center"/>
              <w:rPr>
                <w:rFonts w:ascii="仿宋" w:hAnsi="仿宋" w:eastAsia="仿宋" w:cs="方正仿宋_GBK"/>
                <w:sz w:val="22"/>
              </w:rPr>
            </w:pPr>
            <w:r>
              <w:rPr>
                <w:rFonts w:hint="eastAsia" w:ascii="仿宋" w:hAnsi="仿宋" w:eastAsia="仿宋" w:cs="方正仿宋_GBK"/>
                <w:sz w:val="22"/>
              </w:rPr>
              <w:t>货币</w:t>
            </w:r>
          </w:p>
        </w:tc>
      </w:tr>
      <w:tr w14:paraId="6860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9" w:type="pct"/>
            <w:noWrap/>
            <w:vAlign w:val="center"/>
          </w:tcPr>
          <w:p w14:paraId="65DBFBC6">
            <w:pPr>
              <w:spacing w:line="600" w:lineRule="exact"/>
              <w:jc w:val="center"/>
              <w:rPr>
                <w:rFonts w:ascii="仿宋" w:hAnsi="仿宋" w:eastAsia="仿宋" w:cs="方正仿宋_GBK"/>
                <w:sz w:val="22"/>
              </w:rPr>
            </w:pPr>
            <w:r>
              <w:rPr>
                <w:rFonts w:hint="eastAsia" w:ascii="仿宋" w:hAnsi="仿宋" w:eastAsia="仿宋" w:cs="方正仿宋_GBK"/>
                <w:sz w:val="22"/>
              </w:rPr>
              <w:t>合计</w:t>
            </w:r>
          </w:p>
        </w:tc>
        <w:tc>
          <w:tcPr>
            <w:tcW w:w="856" w:type="pct"/>
            <w:noWrap/>
            <w:vAlign w:val="center"/>
          </w:tcPr>
          <w:p w14:paraId="18FCA280">
            <w:pPr>
              <w:spacing w:line="600" w:lineRule="exact"/>
              <w:jc w:val="center"/>
              <w:rPr>
                <w:rFonts w:ascii="仿宋" w:hAnsi="仿宋" w:eastAsia="仿宋" w:cs="方正仿宋_GBK"/>
                <w:sz w:val="22"/>
              </w:rPr>
            </w:pPr>
            <w:r>
              <w:rPr>
                <w:rFonts w:hint="eastAsia" w:ascii="仿宋" w:hAnsi="仿宋" w:eastAsia="仿宋" w:cs="方正仿宋_GBK"/>
                <w:sz w:val="22"/>
              </w:rPr>
              <w:t>合计</w:t>
            </w:r>
          </w:p>
        </w:tc>
        <w:tc>
          <w:tcPr>
            <w:tcW w:w="858" w:type="pct"/>
            <w:noWrap/>
            <w:vAlign w:val="center"/>
          </w:tcPr>
          <w:p w14:paraId="7F9E95B5">
            <w:pPr>
              <w:spacing w:line="600" w:lineRule="exact"/>
              <w:jc w:val="center"/>
              <w:rPr>
                <w:rFonts w:ascii="仿宋" w:hAnsi="仿宋" w:eastAsia="仿宋" w:cs="方正仿宋_GBK"/>
                <w:sz w:val="22"/>
              </w:rPr>
            </w:pPr>
          </w:p>
        </w:tc>
        <w:tc>
          <w:tcPr>
            <w:tcW w:w="550" w:type="pct"/>
            <w:noWrap/>
            <w:vAlign w:val="center"/>
          </w:tcPr>
          <w:p w14:paraId="44E9000F">
            <w:pPr>
              <w:spacing w:line="600" w:lineRule="exact"/>
              <w:jc w:val="center"/>
              <w:rPr>
                <w:rFonts w:ascii="仿宋" w:hAnsi="仿宋" w:eastAsia="仿宋" w:cs="方正仿宋_GBK"/>
                <w:sz w:val="22"/>
              </w:rPr>
            </w:pPr>
            <w:r>
              <w:rPr>
                <w:rFonts w:hint="eastAsia" w:ascii="仿宋" w:hAnsi="仿宋" w:eastAsia="仿宋" w:cs="方正仿宋_GBK"/>
                <w:sz w:val="22"/>
              </w:rPr>
              <w:t>100%</w:t>
            </w:r>
          </w:p>
        </w:tc>
        <w:tc>
          <w:tcPr>
            <w:tcW w:w="444" w:type="pct"/>
            <w:noWrap/>
          </w:tcPr>
          <w:p w14:paraId="77013DE1">
            <w:pPr>
              <w:spacing w:line="600" w:lineRule="exact"/>
              <w:jc w:val="center"/>
              <w:rPr>
                <w:rFonts w:ascii="仿宋" w:hAnsi="仿宋" w:eastAsia="仿宋" w:cs="方正仿宋_GBK"/>
                <w:sz w:val="22"/>
              </w:rPr>
            </w:pPr>
            <w:r>
              <w:rPr>
                <w:rFonts w:hint="eastAsia" w:ascii="仿宋" w:hAnsi="仿宋" w:eastAsia="仿宋" w:cs="方正仿宋_GBK"/>
                <w:sz w:val="22"/>
              </w:rPr>
              <w:t>货币</w:t>
            </w:r>
          </w:p>
        </w:tc>
      </w:tr>
    </w:tbl>
    <w:p w14:paraId="600AD8FE">
      <w:pPr>
        <w:pStyle w:val="17"/>
        <w:spacing w:line="600" w:lineRule="exact"/>
        <w:ind w:left="0" w:firstLine="440"/>
        <w:jc w:val="both"/>
        <w:rPr>
          <w:rFonts w:ascii="Times New Roman" w:hAnsi="Times New Roman" w:eastAsia="仿宋_GB2312" w:cs="Times New Roman"/>
          <w:sz w:val="22"/>
          <w:szCs w:val="22"/>
        </w:rPr>
      </w:pPr>
      <w:bookmarkStart w:id="35" w:name="_Toc152318129"/>
      <w:bookmarkStart w:id="36" w:name="_Toc25032"/>
      <w:bookmarkStart w:id="37" w:name="_Toc7657"/>
      <w:bookmarkStart w:id="38" w:name="_Toc27537"/>
      <w:r>
        <w:rPr>
          <w:rFonts w:hint="eastAsia" w:ascii="Times New Roman" w:hAnsi="Times New Roman" w:eastAsia="仿宋_GB2312" w:cs="Times New Roman"/>
          <w:sz w:val="22"/>
          <w:szCs w:val="22"/>
        </w:rPr>
        <w:t>注：普通合伙人出资比例不得低于子基金总规模的1%</w:t>
      </w:r>
    </w:p>
    <w:p w14:paraId="4B3C4F8C">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39" w:name="_Toc27189"/>
      <w:r>
        <w:rPr>
          <w:rFonts w:hint="eastAsia" w:ascii="楷体" w:hAnsi="楷体" w:eastAsia="楷体" w:cs="楷体"/>
          <w:sz w:val="28"/>
          <w:szCs w:val="28"/>
        </w:rPr>
        <w:t>出资缴付安排</w:t>
      </w:r>
      <w:bookmarkEnd w:id="35"/>
      <w:bookmarkEnd w:id="36"/>
      <w:bookmarkEnd w:id="37"/>
      <w:bookmarkEnd w:id="38"/>
      <w:bookmarkEnd w:id="39"/>
    </w:p>
    <w:p w14:paraId="67A21E4D">
      <w:pPr>
        <w:pStyle w:val="17"/>
        <w:spacing w:line="600" w:lineRule="exact"/>
        <w:ind w:left="0" w:firstLine="562"/>
        <w:jc w:val="both"/>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1.出资缴付</w:t>
      </w:r>
    </w:p>
    <w:p w14:paraId="799B939C">
      <w:pPr>
        <w:pStyle w:val="17"/>
        <w:spacing w:line="600" w:lineRule="exact"/>
        <w:ind w:left="0" w:firstLine="56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合伙企业一般情况下采取“项目制”出资方式，即拟投资项目获得本合伙企业投委会表决通过后，由各合伙人根据拟投项目所需投资款按照出资比例缴付出资。</w:t>
      </w:r>
    </w:p>
    <w:p w14:paraId="755BD95A">
      <w:pPr>
        <w:pStyle w:val="17"/>
        <w:numPr>
          <w:ilvl w:val="255"/>
          <w:numId w:val="0"/>
        </w:numPr>
        <w:spacing w:line="600" w:lineRule="exact"/>
        <w:ind w:firstLine="562"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2</w:t>
      </w:r>
      <w:r>
        <w:rPr>
          <w:rFonts w:hint="eastAsia" w:ascii="仿宋_GB2312" w:hAnsi="仿宋_GB2312" w:eastAsia="仿宋_GB2312" w:cs="仿宋_GB2312"/>
          <w:b/>
          <w:bCs/>
          <w:sz w:val="28"/>
          <w:szCs w:val="28"/>
        </w:rPr>
        <w:t>.</w:t>
      </w:r>
      <w:r>
        <w:rPr>
          <w:rFonts w:hint="eastAsia" w:ascii="Times New Roman" w:hAnsi="Times New Roman" w:eastAsia="仿宋_GB2312" w:cs="Times New Roman"/>
          <w:b/>
          <w:bCs/>
          <w:sz w:val="28"/>
          <w:szCs w:val="28"/>
        </w:rPr>
        <w:t>出资顺序</w:t>
      </w:r>
    </w:p>
    <w:p w14:paraId="1948F5BF">
      <w:pPr>
        <w:pStyle w:val="17"/>
        <w:adjustRightInd w:val="0"/>
        <w:snapToGrid w:val="0"/>
        <w:spacing w:line="600" w:lineRule="exact"/>
        <w:ind w:left="0" w:firstLine="560"/>
        <w:jc w:val="both"/>
        <w:rPr>
          <w:rFonts w:ascii="Times New Roman" w:hAnsi="Times New Roman" w:eastAsia="仿宋_GB2312" w:cs="Times New Roman"/>
          <w:color w:val="000000"/>
          <w:sz w:val="28"/>
          <w:szCs w:val="28"/>
        </w:rPr>
      </w:pPr>
      <w:r>
        <w:rPr>
          <w:rFonts w:hint="eastAsia" w:ascii="Times New Roman" w:hAnsi="Times New Roman" w:eastAsia="仿宋_GB2312" w:cs="Times New Roman"/>
          <w:sz w:val="28"/>
          <w:szCs w:val="28"/>
        </w:rPr>
        <w:t>河北省科技金融发展促进中心不先于其他合伙人出资（有国家出资的除外）。</w:t>
      </w:r>
      <w:r>
        <w:rPr>
          <w:rFonts w:hint="eastAsia" w:ascii="Times New Roman" w:hAnsi="Times New Roman" w:eastAsia="仿宋_GB2312" w:cs="Times New Roman"/>
          <w:color w:val="000000"/>
          <w:sz w:val="28"/>
          <w:szCs w:val="28"/>
        </w:rPr>
        <w:t>河北省科技金融发展促进中心在收到书面缴款通知和其他合伙人足额缴款凭证后拨付出资资金。</w:t>
      </w:r>
    </w:p>
    <w:p w14:paraId="2EADD9E6">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40" w:name="_Toc19463"/>
      <w:bookmarkStart w:id="41" w:name="_Toc27580"/>
      <w:bookmarkStart w:id="42" w:name="_Toc13379"/>
      <w:bookmarkStart w:id="43" w:name="_Toc152318130"/>
      <w:bookmarkStart w:id="44" w:name="_Toc30755"/>
      <w:r>
        <w:rPr>
          <w:rFonts w:hint="eastAsia" w:ascii="楷体" w:hAnsi="楷体" w:eastAsia="楷体" w:cs="楷体"/>
          <w:sz w:val="28"/>
          <w:szCs w:val="28"/>
        </w:rPr>
        <w:t>基金管理人情况</w:t>
      </w:r>
      <w:bookmarkEnd w:id="40"/>
      <w:bookmarkEnd w:id="41"/>
      <w:bookmarkEnd w:id="42"/>
      <w:bookmarkEnd w:id="43"/>
      <w:bookmarkEnd w:id="44"/>
    </w:p>
    <w:p w14:paraId="23E094B6">
      <w:pPr>
        <w:pStyle w:val="17"/>
        <w:adjustRightInd w:val="0"/>
        <w:snapToGrid w:val="0"/>
        <w:spacing w:line="600" w:lineRule="exact"/>
        <w:ind w:left="0" w:firstLine="56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基金采取委托管理模式，委托</w:t>
      </w:r>
      <w:r>
        <w:rPr>
          <w:rFonts w:hint="eastAsia" w:ascii="Times New Roman" w:hAnsi="Times New Roman" w:eastAsia="仿宋_GB2312" w:cs="Times New Roman"/>
          <w:color w:val="FF0000"/>
          <w:sz w:val="28"/>
          <w:szCs w:val="28"/>
          <w:u w:val="single"/>
        </w:rPr>
        <w:t>xxx（管理机构）</w:t>
      </w:r>
      <w:r>
        <w:rPr>
          <w:rFonts w:hint="eastAsia" w:ascii="Times New Roman" w:hAnsi="Times New Roman" w:eastAsia="仿宋_GB2312" w:cs="Times New Roman"/>
          <w:sz w:val="28"/>
          <w:szCs w:val="28"/>
        </w:rPr>
        <w:t>作为基金管理人对基金进行运行管理。</w:t>
      </w:r>
    </w:p>
    <w:p w14:paraId="2F48D7A5">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45" w:name="_Toc2817"/>
      <w:bookmarkStart w:id="46" w:name="_Toc152318131"/>
      <w:bookmarkStart w:id="47" w:name="_Toc8836"/>
      <w:bookmarkStart w:id="48" w:name="_Toc27875"/>
      <w:bookmarkStart w:id="49" w:name="_Toc20601"/>
      <w:r>
        <w:rPr>
          <w:rFonts w:hint="eastAsia" w:ascii="楷体" w:hAnsi="楷体" w:eastAsia="楷体" w:cs="楷体"/>
          <w:sz w:val="28"/>
          <w:szCs w:val="28"/>
        </w:rPr>
        <w:t>合伙企业费用</w:t>
      </w:r>
      <w:bookmarkEnd w:id="45"/>
      <w:bookmarkEnd w:id="46"/>
    </w:p>
    <w:p w14:paraId="49A47C89">
      <w:pPr>
        <w:pStyle w:val="17"/>
        <w:spacing w:line="600" w:lineRule="exact"/>
        <w:ind w:left="0"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仿宋_GB2312" w:hAnsi="仿宋_GB2312" w:eastAsia="仿宋_GB2312" w:cs="仿宋_GB2312"/>
          <w:b/>
          <w:bCs/>
          <w:sz w:val="28"/>
          <w:szCs w:val="28"/>
        </w:rPr>
        <w:t>.</w:t>
      </w:r>
      <w:r>
        <w:rPr>
          <w:rFonts w:hint="eastAsia" w:ascii="Times New Roman" w:hAnsi="Times New Roman" w:eastAsia="仿宋_GB2312" w:cs="Times New Roman"/>
          <w:sz w:val="28"/>
          <w:szCs w:val="28"/>
        </w:rPr>
        <w:t>合伙企业费用由合伙企业承担，包括向基金管理人支付的管理费、向托管银行支付的托管费和合伙企业的运营费。</w:t>
      </w:r>
    </w:p>
    <w:p w14:paraId="77338EDF">
      <w:pPr>
        <w:pStyle w:val="17"/>
        <w:spacing w:line="600" w:lineRule="exact"/>
        <w:ind w:left="0" w:firstLine="560"/>
        <w:jc w:val="both"/>
        <w:rPr>
          <w:rFonts w:ascii="楷体" w:hAnsi="楷体" w:eastAsia="楷体" w:cs="楷体"/>
          <w:sz w:val="28"/>
          <w:szCs w:val="28"/>
        </w:rPr>
      </w:pPr>
      <w:r>
        <w:rPr>
          <w:rFonts w:hint="eastAsia" w:ascii="Times New Roman" w:hAnsi="Times New Roman" w:eastAsia="仿宋_GB2312" w:cs="Times New Roman"/>
          <w:sz w:val="28"/>
          <w:szCs w:val="28"/>
        </w:rPr>
        <w:t>2</w:t>
      </w:r>
      <w:r>
        <w:rPr>
          <w:rFonts w:hint="eastAsia" w:ascii="仿宋_GB2312" w:hAnsi="仿宋_GB2312" w:eastAsia="仿宋_GB2312" w:cs="仿宋_GB2312"/>
          <w:b/>
          <w:bCs/>
          <w:sz w:val="28"/>
          <w:szCs w:val="28"/>
        </w:rPr>
        <w:t>.</w:t>
      </w:r>
      <w:r>
        <w:rPr>
          <w:rFonts w:hint="eastAsia" w:ascii="Times New Roman" w:hAnsi="Times New Roman" w:eastAsia="仿宋_GB2312" w:cs="Times New Roman"/>
          <w:sz w:val="28"/>
          <w:szCs w:val="28"/>
        </w:rPr>
        <w:t>管理费</w:t>
      </w:r>
      <w:bookmarkEnd w:id="47"/>
      <w:bookmarkEnd w:id="48"/>
      <w:bookmarkEnd w:id="49"/>
      <w:r>
        <w:rPr>
          <w:rFonts w:hint="eastAsia" w:ascii="Times New Roman" w:hAnsi="Times New Roman" w:eastAsia="仿宋_GB2312" w:cs="Times New Roman"/>
          <w:sz w:val="28"/>
          <w:szCs w:val="28"/>
        </w:rPr>
        <w:t>的计提方法、标准和支付方式：</w:t>
      </w:r>
    </w:p>
    <w:p w14:paraId="55F547E2">
      <w:pPr>
        <w:pStyle w:val="17"/>
        <w:numPr>
          <w:ilvl w:val="255"/>
          <w:numId w:val="0"/>
        </w:numPr>
        <w:spacing w:line="60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基金自成立之日起的有效存续期间内（包括投资期和退出期），向基金管理人支付管理费。</w:t>
      </w:r>
    </w:p>
    <w:p w14:paraId="25A586F2">
      <w:pPr>
        <w:pStyle w:val="17"/>
        <w:numPr>
          <w:ilvl w:val="255"/>
          <w:numId w:val="0"/>
        </w:numPr>
        <w:spacing w:line="60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基金管理人自身的运营费用以管理费承担，包括但不限于：房屋租赁费、办公费、差旅费、水电费、项目档案管理费用等，聘请内部专业技能人员(包括投资经理、投资助理及其他人员)的费用以及其他为寻找投资机会和对被投资企业进行尽职调查、跟踪管理过程中提供一般性支持和服务费用。</w:t>
      </w:r>
    </w:p>
    <w:p w14:paraId="055663B4">
      <w:pPr>
        <w:pStyle w:val="17"/>
        <w:spacing w:line="600" w:lineRule="exact"/>
        <w:ind w:left="0" w:firstLine="56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基金管理费按日计提，按会计年度支付。如本合伙企业投资项目年度及项目退出年度计提管理费期间非完整会计年度的，则按照计提期间的项目实际投资天数计算。其中本合伙企业首年管理费自实际投资项目之日作为“管理费计费起始日”（含当日），并于实际投资项目之日起开始计提。其后管理费应于每个会计年度开始之日起30日内计算上一年度管理费，最后一年的管理费应计算至合伙企业退出期届满之日。（参考出资顺序）</w:t>
      </w:r>
    </w:p>
    <w:p w14:paraId="0C2341F7">
      <w:pPr>
        <w:pStyle w:val="17"/>
        <w:spacing w:line="600" w:lineRule="exact"/>
        <w:ind w:left="0" w:firstLine="56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（2）本合伙企业投资期内，管理费计算比例为本合伙企业实际已投资总额减去已退出项目的投资本金的</w:t>
      </w:r>
      <w:r>
        <w:rPr>
          <w:rFonts w:hint="eastAsia" w:ascii="Times New Roman" w:hAnsi="Times New Roman" w:eastAsia="仿宋_GB2312" w:cs="Times New Roman"/>
          <w:color w:val="FF0000"/>
          <w:sz w:val="28"/>
          <w:szCs w:val="28"/>
          <w:u w:val="single"/>
        </w:rPr>
        <w:t xml:space="preserve">  %</w:t>
      </w:r>
      <w:r>
        <w:rPr>
          <w:rFonts w:hint="eastAsia" w:ascii="Times New Roman" w:hAnsi="Times New Roman" w:eastAsia="仿宋_GB2312" w:cs="Times New Roman"/>
          <w:sz w:val="28"/>
          <w:szCs w:val="28"/>
        </w:rPr>
        <w:t>；本合伙企业退出期内，管理费计算比例为本合伙企业尚未退出项目的投资本金的</w:t>
      </w:r>
      <w:r>
        <w:rPr>
          <w:rFonts w:hint="eastAsia" w:ascii="Times New Roman" w:hAnsi="Times New Roman" w:eastAsia="仿宋_GB2312" w:cs="Times New Roman"/>
          <w:color w:val="FF0000"/>
          <w:sz w:val="28"/>
          <w:szCs w:val="28"/>
          <w:u w:val="single"/>
        </w:rPr>
        <w:t xml:space="preserve">  %</w:t>
      </w:r>
      <w:r>
        <w:rPr>
          <w:rFonts w:hint="eastAsia" w:ascii="Times New Roman" w:hAnsi="Times New Roman" w:eastAsia="仿宋_GB2312" w:cs="Times New Roman"/>
          <w:sz w:val="28"/>
          <w:szCs w:val="28"/>
        </w:rPr>
        <w:t>；本合伙企业延长期和清算期内不收取管理费。</w:t>
      </w:r>
    </w:p>
    <w:p w14:paraId="735BA602">
      <w:pPr>
        <w:pStyle w:val="17"/>
        <w:spacing w:line="600" w:lineRule="exact"/>
        <w:ind w:left="0" w:firstLine="56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仿宋_GB2312" w:hAnsi="仿宋_GB2312" w:eastAsia="仿宋_GB2312" w:cs="仿宋_GB2312"/>
          <w:b/>
          <w:bCs/>
          <w:sz w:val="28"/>
          <w:szCs w:val="28"/>
        </w:rPr>
        <w:t>.</w:t>
      </w:r>
      <w:r>
        <w:rPr>
          <w:rFonts w:hint="eastAsia" w:ascii="Times New Roman" w:hAnsi="Times New Roman" w:eastAsia="仿宋_GB2312" w:cs="Times New Roman"/>
          <w:sz w:val="28"/>
          <w:szCs w:val="28"/>
        </w:rPr>
        <w:t>合伙企业运营费用包含：（1）合伙企业</w:t>
      </w:r>
      <w:r>
        <w:rPr>
          <w:rFonts w:ascii="Times New Roman" w:hAnsi="Times New Roman" w:eastAsia="仿宋_GB2312" w:cs="Times New Roman"/>
          <w:sz w:val="28"/>
          <w:szCs w:val="28"/>
        </w:rPr>
        <w:t>办理工商注册</w:t>
      </w:r>
      <w:r>
        <w:rPr>
          <w:rFonts w:hint="eastAsia" w:ascii="Times New Roman" w:hAnsi="Times New Roman" w:eastAsia="仿宋_GB2312" w:cs="Times New Roman"/>
          <w:sz w:val="28"/>
          <w:szCs w:val="28"/>
        </w:rPr>
        <w:t>、资格审查、</w:t>
      </w:r>
      <w:r>
        <w:rPr>
          <w:rFonts w:ascii="Times New Roman" w:hAnsi="Times New Roman" w:eastAsia="仿宋_GB2312" w:cs="Times New Roman"/>
          <w:sz w:val="28"/>
          <w:szCs w:val="28"/>
        </w:rPr>
        <w:t>变更登记</w:t>
      </w:r>
      <w:r>
        <w:rPr>
          <w:rFonts w:hint="eastAsia" w:ascii="Times New Roman" w:hAnsi="Times New Roman" w:eastAsia="仿宋_GB2312" w:cs="Times New Roman"/>
          <w:sz w:val="28"/>
          <w:szCs w:val="28"/>
        </w:rPr>
        <w:t>、信息披露等</w:t>
      </w:r>
      <w:r>
        <w:rPr>
          <w:rFonts w:ascii="Times New Roman" w:hAnsi="Times New Roman" w:eastAsia="仿宋_GB2312" w:cs="Times New Roman"/>
          <w:sz w:val="28"/>
          <w:szCs w:val="28"/>
        </w:rPr>
        <w:t>等产生的</w:t>
      </w:r>
      <w:r>
        <w:rPr>
          <w:rFonts w:hint="eastAsia" w:ascii="Times New Roman" w:hAnsi="Times New Roman" w:eastAsia="仿宋_GB2312" w:cs="Times New Roman"/>
          <w:sz w:val="28"/>
          <w:szCs w:val="28"/>
        </w:rPr>
        <w:t>费用及其他</w:t>
      </w:r>
      <w:r>
        <w:rPr>
          <w:rFonts w:ascii="Times New Roman" w:hAnsi="Times New Roman" w:eastAsia="仿宋_GB2312" w:cs="Times New Roman"/>
          <w:sz w:val="28"/>
          <w:szCs w:val="28"/>
        </w:rPr>
        <w:t>行政性</w:t>
      </w:r>
      <w:r>
        <w:rPr>
          <w:rFonts w:hint="eastAsia" w:ascii="Times New Roman" w:hAnsi="Times New Roman" w:eastAsia="仿宋_GB2312" w:cs="Times New Roman"/>
          <w:sz w:val="28"/>
          <w:szCs w:val="28"/>
        </w:rPr>
        <w:t>收费；（2）合伙企业自身的审计费、评估费等；（3）合伙企业作为当事一方的且依法应由合伙企业承担的诉讼或仲裁相关费用；（4）合伙人大会确认应</w:t>
      </w:r>
      <w:r>
        <w:rPr>
          <w:rFonts w:ascii="Times New Roman" w:hAnsi="Times New Roman" w:eastAsia="仿宋_GB2312" w:cs="Times New Roman"/>
          <w:sz w:val="28"/>
          <w:szCs w:val="28"/>
        </w:rPr>
        <w:t>由本合伙企业承担的其他费用</w:t>
      </w:r>
      <w:r>
        <w:rPr>
          <w:rFonts w:hint="eastAsia" w:ascii="Times New Roman" w:hAnsi="Times New Roman" w:eastAsia="仿宋_GB2312" w:cs="Times New Roman"/>
          <w:sz w:val="28"/>
          <w:szCs w:val="28"/>
        </w:rPr>
        <w:t>。</w:t>
      </w:r>
    </w:p>
    <w:p w14:paraId="220DDC92">
      <w:pPr>
        <w:pStyle w:val="17"/>
        <w:numPr>
          <w:ilvl w:val="0"/>
          <w:numId w:val="2"/>
        </w:numPr>
        <w:spacing w:line="600" w:lineRule="exact"/>
        <w:ind w:left="0" w:leftChars="0" w:firstLine="420" w:firstLineChars="0"/>
        <w:jc w:val="both"/>
        <w:outlineLvl w:val="1"/>
        <w:rPr>
          <w:rFonts w:hint="eastAsia" w:ascii="楷体" w:hAnsi="楷体" w:eastAsia="楷体" w:cs="楷体"/>
          <w:sz w:val="28"/>
          <w:szCs w:val="28"/>
        </w:rPr>
      </w:pPr>
      <w:bookmarkStart w:id="50" w:name="_Toc152318132"/>
      <w:bookmarkStart w:id="51" w:name="_Toc29395"/>
      <w:bookmarkStart w:id="52" w:name="_Toc13988"/>
      <w:bookmarkStart w:id="53" w:name="_Toc16135"/>
      <w:bookmarkStart w:id="54" w:name="_Toc6868"/>
      <w:r>
        <w:rPr>
          <w:rFonts w:hint="eastAsia" w:ascii="楷体" w:hAnsi="楷体" w:eastAsia="楷体" w:cs="楷体"/>
          <w:sz w:val="28"/>
          <w:szCs w:val="28"/>
        </w:rPr>
        <w:t>基金托管</w:t>
      </w:r>
      <w:bookmarkEnd w:id="50"/>
      <w:bookmarkEnd w:id="51"/>
      <w:bookmarkEnd w:id="52"/>
      <w:bookmarkEnd w:id="53"/>
      <w:bookmarkEnd w:id="54"/>
    </w:p>
    <w:p w14:paraId="124A966E">
      <w:pPr>
        <w:spacing w:line="60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为加强监管，基金募集成立后，拟由基金管理人推荐</w:t>
      </w:r>
      <w:r>
        <w:rPr>
          <w:rFonts w:hint="eastAsia" w:ascii="Times New Roman" w:hAnsi="Times New Roman" w:cs="Times New Roman"/>
          <w:sz w:val="28"/>
          <w:szCs w:val="28"/>
          <w:lang w:eastAsia="zh-CN"/>
        </w:rPr>
        <w:t>保定域内</w:t>
      </w:r>
      <w:r>
        <w:rPr>
          <w:rFonts w:hint="eastAsia" w:ascii="Times New Roman" w:hAnsi="Times New Roman" w:eastAsia="仿宋_GB2312" w:cs="Times New Roman"/>
          <w:sz w:val="28"/>
          <w:szCs w:val="28"/>
        </w:rPr>
        <w:t>的具有基金托管资格的商业银行进行托管，由本合伙企业、基金管理人与其共同签订《资金托管协议》，明确协议各方在托管资金的保管、账户管理、资金拨付和结算、托管资金投资活动动态监管等事宜中的权利、义务和责任。</w:t>
      </w:r>
    </w:p>
    <w:p w14:paraId="41C8F7C0">
      <w:pPr>
        <w:numPr>
          <w:ilvl w:val="0"/>
          <w:numId w:val="1"/>
        </w:numPr>
        <w:overflowPunct w:val="0"/>
        <w:spacing w:line="600" w:lineRule="exact"/>
        <w:outlineLvl w:val="0"/>
        <w:rPr>
          <w:rFonts w:ascii="黑体" w:hAnsi="黑体" w:eastAsia="黑体" w:cs="黑体"/>
          <w:sz w:val="32"/>
          <w:szCs w:val="32"/>
        </w:rPr>
      </w:pPr>
      <w:bookmarkStart w:id="55" w:name="_Toc5868"/>
      <w:bookmarkStart w:id="56" w:name="_Toc19516"/>
      <w:bookmarkStart w:id="57" w:name="_Toc18274"/>
      <w:bookmarkStart w:id="58" w:name="_Toc15020"/>
      <w:bookmarkStart w:id="59" w:name="_Toc152318133"/>
      <w:r>
        <w:rPr>
          <w:rFonts w:hint="eastAsia" w:ascii="黑体" w:hAnsi="黑体" w:eastAsia="黑体" w:cs="黑体"/>
          <w:sz w:val="32"/>
          <w:szCs w:val="32"/>
        </w:rPr>
        <w:t>管理机构及团队介绍</w:t>
      </w:r>
      <w:bookmarkEnd w:id="55"/>
      <w:bookmarkEnd w:id="56"/>
      <w:bookmarkEnd w:id="57"/>
      <w:bookmarkEnd w:id="58"/>
      <w:bookmarkEnd w:id="59"/>
    </w:p>
    <w:p w14:paraId="63A78AE2">
      <w:pPr>
        <w:pStyle w:val="17"/>
        <w:numPr>
          <w:ilvl w:val="0"/>
          <w:numId w:val="3"/>
        </w:numPr>
        <w:spacing w:line="600" w:lineRule="exact"/>
        <w:ind w:left="0" w:leftChars="0" w:firstLine="420" w:firstLineChars="0"/>
        <w:jc w:val="both"/>
        <w:outlineLvl w:val="1"/>
        <w:rPr>
          <w:rFonts w:hint="eastAsia" w:ascii="楷体" w:hAnsi="楷体" w:eastAsia="楷体" w:cs="楷体"/>
          <w:sz w:val="28"/>
          <w:szCs w:val="28"/>
        </w:rPr>
      </w:pPr>
      <w:bookmarkStart w:id="60" w:name="_Toc16940"/>
      <w:bookmarkStart w:id="61" w:name="_Toc32746"/>
      <w:bookmarkStart w:id="62" w:name="_Toc5674"/>
      <w:bookmarkStart w:id="63" w:name="_Toc152318134"/>
      <w:bookmarkStart w:id="64" w:name="_Toc21156"/>
      <w:r>
        <w:rPr>
          <w:rFonts w:hint="eastAsia" w:ascii="楷体" w:hAnsi="楷体" w:eastAsia="楷体" w:cs="楷体"/>
          <w:sz w:val="28"/>
          <w:szCs w:val="28"/>
        </w:rPr>
        <w:t>管理机构简介</w:t>
      </w:r>
      <w:bookmarkEnd w:id="60"/>
      <w:bookmarkEnd w:id="61"/>
      <w:bookmarkEnd w:id="62"/>
      <w:bookmarkEnd w:id="63"/>
      <w:bookmarkEnd w:id="64"/>
    </w:p>
    <w:p w14:paraId="7169187D">
      <w:pPr>
        <w:tabs>
          <w:tab w:val="left" w:pos="3198"/>
        </w:tabs>
        <w:spacing w:line="600" w:lineRule="exact"/>
        <w:ind w:firstLine="560" w:firstLineChars="200"/>
        <w:jc w:val="left"/>
        <w:rPr>
          <w:rFonts w:ascii="Times New Roman" w:hAnsi="Times New Roman" w:eastAsia="仿宋_GB2312" w:cs="Times New Roman"/>
          <w:color w:val="FF0000"/>
          <w:sz w:val="28"/>
          <w:szCs w:val="28"/>
        </w:rPr>
      </w:pPr>
      <w:r>
        <w:rPr>
          <w:rFonts w:hint="eastAsia" w:ascii="Times New Roman" w:hAnsi="Times New Roman" w:eastAsia="仿宋_GB2312" w:cs="Times New Roman"/>
          <w:color w:val="FF0000"/>
          <w:sz w:val="28"/>
          <w:szCs w:val="28"/>
        </w:rPr>
        <w:t>（包括但不限于注册地、注册资本、注册时间、法定代表人、股东构成及出资比例、中基协备案时间及登记编码、在管基金情况等）</w:t>
      </w:r>
    </w:p>
    <w:p w14:paraId="2C02AA9A">
      <w:pPr>
        <w:pStyle w:val="17"/>
        <w:numPr>
          <w:ilvl w:val="0"/>
          <w:numId w:val="3"/>
        </w:numPr>
        <w:spacing w:line="600" w:lineRule="exact"/>
        <w:ind w:left="0" w:leftChars="0" w:firstLine="420" w:firstLineChars="0"/>
        <w:jc w:val="both"/>
        <w:outlineLvl w:val="1"/>
        <w:rPr>
          <w:rFonts w:hint="eastAsia" w:ascii="楷体" w:hAnsi="楷体" w:eastAsia="楷体" w:cs="楷体"/>
          <w:sz w:val="28"/>
          <w:szCs w:val="28"/>
        </w:rPr>
      </w:pPr>
      <w:bookmarkStart w:id="65" w:name="_Toc14180"/>
      <w:bookmarkStart w:id="66" w:name="_Toc9639"/>
      <w:bookmarkStart w:id="67" w:name="_Toc2145"/>
      <w:bookmarkStart w:id="68" w:name="_Toc152318135"/>
      <w:bookmarkStart w:id="69" w:name="_Toc27490"/>
      <w:r>
        <w:rPr>
          <w:rFonts w:hint="eastAsia" w:ascii="楷体" w:hAnsi="楷体" w:eastAsia="楷体" w:cs="楷体"/>
          <w:sz w:val="28"/>
          <w:szCs w:val="28"/>
        </w:rPr>
        <w:t>管理团队核心人员简介</w:t>
      </w:r>
      <w:bookmarkEnd w:id="65"/>
      <w:bookmarkEnd w:id="66"/>
      <w:bookmarkEnd w:id="67"/>
      <w:bookmarkEnd w:id="68"/>
      <w:bookmarkEnd w:id="69"/>
    </w:p>
    <w:p w14:paraId="169A8CB3">
      <w:pPr>
        <w:overflowPunct w:val="0"/>
        <w:spacing w:line="600" w:lineRule="exact"/>
        <w:ind w:firstLine="560" w:firstLineChars="200"/>
        <w:outlineLvl w:val="0"/>
        <w:rPr>
          <w:rFonts w:ascii="黑体" w:hAnsi="黑体" w:eastAsia="黑体" w:cs="黑体"/>
          <w:sz w:val="28"/>
          <w:szCs w:val="28"/>
        </w:rPr>
      </w:pPr>
      <w:bookmarkStart w:id="70" w:name="_Toc21224"/>
      <w:bookmarkStart w:id="71" w:name="_Toc4444"/>
      <w:bookmarkStart w:id="72" w:name="_Toc6484"/>
      <w:bookmarkStart w:id="73" w:name="_Toc152318136"/>
    </w:p>
    <w:p w14:paraId="0032E246">
      <w:pPr>
        <w:numPr>
          <w:ilvl w:val="0"/>
          <w:numId w:val="1"/>
        </w:numPr>
        <w:overflowPunct w:val="0"/>
        <w:spacing w:line="600" w:lineRule="exact"/>
        <w:outlineLvl w:val="0"/>
        <w:rPr>
          <w:rFonts w:ascii="黑体" w:hAnsi="黑体" w:eastAsia="黑体" w:cs="黑体"/>
          <w:sz w:val="32"/>
          <w:szCs w:val="32"/>
        </w:rPr>
      </w:pPr>
      <w:bookmarkStart w:id="74" w:name="_Toc20896"/>
      <w:r>
        <w:rPr>
          <w:rFonts w:hint="eastAsia" w:ascii="黑体" w:hAnsi="黑体" w:eastAsia="黑体" w:cs="黑体"/>
          <w:sz w:val="32"/>
          <w:szCs w:val="32"/>
        </w:rPr>
        <w:t>基金管理和运行</w:t>
      </w:r>
      <w:bookmarkEnd w:id="70"/>
      <w:bookmarkEnd w:id="71"/>
      <w:bookmarkEnd w:id="72"/>
      <w:bookmarkEnd w:id="73"/>
      <w:bookmarkEnd w:id="74"/>
    </w:p>
    <w:p w14:paraId="34FF5C85">
      <w:pPr>
        <w:pStyle w:val="17"/>
        <w:numPr>
          <w:ilvl w:val="0"/>
          <w:numId w:val="4"/>
        </w:numPr>
        <w:spacing w:line="600" w:lineRule="exact"/>
        <w:ind w:left="0" w:leftChars="0" w:firstLine="420" w:firstLineChars="0"/>
        <w:jc w:val="both"/>
        <w:outlineLvl w:val="1"/>
        <w:rPr>
          <w:rFonts w:hint="eastAsia" w:ascii="楷体" w:hAnsi="楷体" w:eastAsia="楷体" w:cs="楷体"/>
          <w:sz w:val="28"/>
          <w:szCs w:val="28"/>
        </w:rPr>
      </w:pPr>
      <w:bookmarkStart w:id="75" w:name="_Toc7226"/>
      <w:bookmarkStart w:id="76" w:name="_Toc152318137"/>
      <w:bookmarkStart w:id="77" w:name="_Toc5819"/>
      <w:bookmarkStart w:id="78" w:name="_Toc6301"/>
      <w:bookmarkStart w:id="79" w:name="_Toc14565"/>
      <w:r>
        <w:rPr>
          <w:rFonts w:hint="eastAsia" w:ascii="楷体" w:hAnsi="楷体" w:eastAsia="楷体" w:cs="楷体"/>
          <w:sz w:val="28"/>
          <w:szCs w:val="28"/>
        </w:rPr>
        <w:t>基金治理架构</w:t>
      </w:r>
      <w:bookmarkEnd w:id="75"/>
      <w:bookmarkEnd w:id="76"/>
      <w:bookmarkEnd w:id="77"/>
      <w:bookmarkEnd w:id="78"/>
      <w:bookmarkEnd w:id="79"/>
    </w:p>
    <w:p w14:paraId="634C8C0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子基金的组织形式是有限合伙制，合伙人大会与投资决策委员会（简称投委会）的权责划分如下。</w:t>
      </w:r>
    </w:p>
    <w:p w14:paraId="534E9EEF">
      <w:pPr>
        <w:pStyle w:val="17"/>
        <w:spacing w:line="600" w:lineRule="exact"/>
        <w:ind w:left="0" w:firstLine="562"/>
        <w:jc w:val="both"/>
        <w:rPr>
          <w:rFonts w:ascii="仿宋_GB2312" w:hAnsi="宋体" w:eastAsia="仿宋_GB2312" w:cstheme="minorBidi"/>
          <w:b/>
          <w:bCs/>
          <w:sz w:val="28"/>
          <w:szCs w:val="28"/>
        </w:rPr>
      </w:pPr>
      <w:r>
        <w:rPr>
          <w:rFonts w:hint="eastAsia" w:ascii="仿宋_GB2312" w:hAnsi="宋体" w:eastAsia="仿宋_GB2312" w:cstheme="minorBidi"/>
          <w:b/>
          <w:bCs/>
          <w:sz w:val="28"/>
          <w:szCs w:val="28"/>
        </w:rPr>
        <w:t>1.合伙企业的以下事项须经合伙人大会表决：</w:t>
      </w:r>
    </w:p>
    <w:p w14:paraId="134FB500">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（1）修改或补充合伙协议；</w:t>
      </w:r>
    </w:p>
    <w:p w14:paraId="4D1171AC">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（2）本合伙企业名称、经营场所和经营范围的变更；</w:t>
      </w:r>
    </w:p>
    <w:p w14:paraId="130CE0C8">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（3）本合伙企业与基金管理人签署的《委托管理协议》；</w:t>
      </w:r>
    </w:p>
    <w:p w14:paraId="2A53FD6D">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（4）聘请或更换托管银行；</w:t>
      </w:r>
    </w:p>
    <w:p w14:paraId="4FBDC59F">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（5）投委会委员组成及投委会议事规则；</w:t>
      </w:r>
    </w:p>
    <w:p w14:paraId="1D9F6605">
      <w:pPr>
        <w:pStyle w:val="17"/>
        <w:numPr>
          <w:ilvl w:val="255"/>
          <w:numId w:val="0"/>
        </w:numPr>
        <w:spacing w:line="600" w:lineRule="exact"/>
        <w:ind w:firstLine="560" w:firstLineChars="200"/>
        <w:jc w:val="both"/>
        <w:rPr>
          <w:rFonts w:ascii="Times New Roman" w:hAnsi="Times New Roman" w:eastAsia="仿宋_GB2312" w:cs="Times New Roman"/>
          <w:sz w:val="28"/>
          <w:szCs w:val="28"/>
        </w:rPr>
      </w:pPr>
      <w:r>
        <w:rPr>
          <w:rFonts w:hint="eastAsia" w:ascii="仿宋_GB2312" w:hAnsi="宋体" w:eastAsia="仿宋_GB2312" w:cstheme="minorBidi"/>
          <w:sz w:val="28"/>
          <w:szCs w:val="28"/>
        </w:rPr>
        <w:t>（6）合伙人与本合伙企业的关联交易（关联交易的当事合伙人须回避，须经其他合伙人一致同意）；</w:t>
      </w:r>
    </w:p>
    <w:p w14:paraId="18234E95">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合伙企业存续期的延长；</w:t>
      </w:r>
    </w:p>
    <w:p w14:paraId="32F93A1D">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聘任或解聘承办本合伙企业审计业务的会计师事务所；</w:t>
      </w:r>
    </w:p>
    <w:p w14:paraId="0D4DE739">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审议通过</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合伙企业年度报告、年度财务审计及决算报告、年度资金托管报告、年度工作计划及年度预算方案；</w:t>
      </w:r>
    </w:p>
    <w:p w14:paraId="080F5C38">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审定管理费的具体支付数额；</w:t>
      </w:r>
    </w:p>
    <w:p w14:paraId="67341217">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合伙企业利润分配方案；</w:t>
      </w:r>
    </w:p>
    <w:p w14:paraId="3B10C871">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合伙人的入伙、退伙、除名和合伙人资格继承；</w:t>
      </w:r>
    </w:p>
    <w:p w14:paraId="66BBA1E1">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合伙人增加或减少对本合伙企业的认缴出资；</w:t>
      </w:r>
    </w:p>
    <w:p w14:paraId="74B3DE07">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合伙人转让或出质其所持有的本合伙企业财产份额；</w:t>
      </w:r>
    </w:p>
    <w:p w14:paraId="374DB06F">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合伙人退伙时的财产退还方案；</w:t>
      </w:r>
    </w:p>
    <w:p w14:paraId="78307DA1">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合伙企业的终止或解散；</w:t>
      </w:r>
    </w:p>
    <w:p w14:paraId="189ED282">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决定</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合伙企业持有资产（含持有的未变现股权资产）的价值评估方式和进行评估的中介机构；</w:t>
      </w:r>
    </w:p>
    <w:p w14:paraId="18DC9D5A">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合伙企业的清算报告；</w:t>
      </w:r>
    </w:p>
    <w:p w14:paraId="15337F3B">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处分</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合伙企业的不动产；</w:t>
      </w:r>
    </w:p>
    <w:p w14:paraId="6AE6F5A3">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转让或处分</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合伙企业的知识产权和其他财产；</w:t>
      </w:r>
    </w:p>
    <w:p w14:paraId="561A8509">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合伙企业基金管理人核心成员变更；</w:t>
      </w:r>
    </w:p>
    <w:p w14:paraId="6B4E4D4B">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更换普通合伙人/基金管理人/执行事务合伙人；</w:t>
      </w:r>
    </w:p>
    <w:p w14:paraId="2A204440">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对基金管理人提供的服务进行全面审议，并据此做出包括但不限于调减、推迟、暂停或终止支付管理费直至更换基金管理人的相关决议；</w:t>
      </w:r>
    </w:p>
    <w:p w14:paraId="7C1300E5">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基金管理人认为需由合伙人大会表决的事项；</w:t>
      </w:r>
    </w:p>
    <w:p w14:paraId="24BFFC9D">
      <w:pPr>
        <w:pStyle w:val="17"/>
        <w:numPr>
          <w:ilvl w:val="0"/>
          <w:numId w:val="5"/>
        </w:numPr>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相关法律法规和合伙协议规定应当由合伙人大会决定的其他事项。</w:t>
      </w:r>
    </w:p>
    <w:p w14:paraId="190D8765">
      <w:pPr>
        <w:pStyle w:val="17"/>
        <w:spacing w:line="600" w:lineRule="exact"/>
        <w:ind w:left="0" w:firstLine="560"/>
        <w:jc w:val="both"/>
        <w:rPr>
          <w:rFonts w:ascii="仿宋_GB2312" w:hAnsi="宋体" w:eastAsia="仿宋_GB2312" w:cstheme="minorBidi"/>
          <w:sz w:val="28"/>
          <w:szCs w:val="28"/>
        </w:rPr>
      </w:pPr>
      <w:r>
        <w:rPr>
          <w:rFonts w:hint="eastAsia" w:ascii="仿宋_GB2312" w:hAnsi="宋体" w:eastAsia="仿宋_GB2312" w:cstheme="minorBidi"/>
          <w:sz w:val="28"/>
          <w:szCs w:val="28"/>
        </w:rPr>
        <w:t>上述项中（22）（23）的表决须经与普通合伙人无关联关系的有限合伙人一致同意方可通过，除此之外其他需表决的事项须经全体合伙人一致同意方可通过。</w:t>
      </w:r>
    </w:p>
    <w:p w14:paraId="0D6EE92E">
      <w:pPr>
        <w:pStyle w:val="17"/>
        <w:spacing w:line="600" w:lineRule="exact"/>
        <w:ind w:left="0" w:firstLine="562"/>
        <w:jc w:val="both"/>
        <w:rPr>
          <w:rFonts w:ascii="仿宋_GB2312" w:hAnsi="宋体" w:eastAsia="仿宋_GB2312" w:cstheme="minorBidi"/>
          <w:b/>
          <w:bCs/>
          <w:sz w:val="28"/>
          <w:szCs w:val="28"/>
        </w:rPr>
      </w:pPr>
      <w:r>
        <w:rPr>
          <w:rFonts w:hint="eastAsia" w:ascii="仿宋_GB2312" w:hAnsi="宋体" w:eastAsia="仿宋_GB2312" w:cstheme="minorBidi"/>
          <w:b/>
          <w:bCs/>
          <w:sz w:val="28"/>
          <w:szCs w:val="28"/>
        </w:rPr>
        <w:t>2.投委会的职权范围包括：</w:t>
      </w:r>
    </w:p>
    <w:p w14:paraId="2BD0E821">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（1）审议决策</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合伙企业的对外投资项目；</w:t>
      </w:r>
    </w:p>
    <w:p w14:paraId="760DCF50">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（2）审议决策</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合伙企业对外投资相关协议；</w:t>
      </w:r>
    </w:p>
    <w:p w14:paraId="33518E2B">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（3）审议决策</w:t>
      </w:r>
      <w:r>
        <w:rPr>
          <w:rFonts w:hint="eastAsia" w:ascii="Times New Roman" w:hAnsi="Times New Roman" w:eastAsia="仿宋_GB2312" w:cs="Times New Roman"/>
          <w:sz w:val="28"/>
          <w:szCs w:val="28"/>
        </w:rPr>
        <w:t>本</w:t>
      </w:r>
      <w:r>
        <w:rPr>
          <w:rFonts w:hint="eastAsia" w:ascii="仿宋_GB2312" w:hAnsi="宋体" w:eastAsia="仿宋_GB2312" w:cstheme="minorBidi"/>
          <w:sz w:val="28"/>
          <w:szCs w:val="28"/>
        </w:rPr>
        <w:t>合伙企业投资项目退出；</w:t>
      </w:r>
    </w:p>
    <w:p w14:paraId="34EA0547">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（4）基金管理人认为应当征询投委会意见的其他事项；</w:t>
      </w:r>
    </w:p>
    <w:p w14:paraId="0242E35F">
      <w:pPr>
        <w:pStyle w:val="17"/>
        <w:numPr>
          <w:ilvl w:val="255"/>
          <w:numId w:val="0"/>
        </w:numPr>
        <w:spacing w:line="600" w:lineRule="exact"/>
        <w:ind w:firstLine="560" w:firstLineChars="200"/>
        <w:jc w:val="both"/>
        <w:rPr>
          <w:rFonts w:ascii="仿宋_GB2312" w:hAnsi="宋体" w:eastAsia="仿宋_GB2312" w:cstheme="minorBidi"/>
          <w:sz w:val="28"/>
          <w:szCs w:val="28"/>
        </w:rPr>
      </w:pPr>
      <w:r>
        <w:rPr>
          <w:rFonts w:hint="eastAsia" w:ascii="仿宋_GB2312" w:hAnsi="宋体" w:eastAsia="仿宋_GB2312" w:cstheme="minorBidi"/>
          <w:sz w:val="28"/>
          <w:szCs w:val="28"/>
        </w:rPr>
        <w:t>（5）合伙协议或合伙人大会授予的其他职权。</w:t>
      </w:r>
    </w:p>
    <w:p w14:paraId="34568422">
      <w:pPr>
        <w:pStyle w:val="17"/>
        <w:numPr>
          <w:ilvl w:val="0"/>
          <w:numId w:val="4"/>
        </w:numPr>
        <w:spacing w:line="600" w:lineRule="exact"/>
        <w:ind w:left="0" w:leftChars="0" w:firstLine="420" w:firstLineChars="0"/>
        <w:jc w:val="both"/>
        <w:outlineLvl w:val="1"/>
        <w:rPr>
          <w:rFonts w:hint="eastAsia" w:ascii="楷体" w:hAnsi="楷体" w:eastAsia="楷体" w:cs="楷体"/>
          <w:sz w:val="28"/>
          <w:szCs w:val="28"/>
        </w:rPr>
      </w:pPr>
      <w:bookmarkStart w:id="80" w:name="_Toc2458"/>
      <w:bookmarkStart w:id="81" w:name="_Toc19541"/>
      <w:bookmarkStart w:id="82" w:name="_Toc152318138"/>
      <w:bookmarkStart w:id="83" w:name="_Toc29404"/>
      <w:bookmarkStart w:id="84" w:name="_Toc1917"/>
      <w:r>
        <w:rPr>
          <w:rFonts w:hint="eastAsia" w:ascii="楷体" w:hAnsi="楷体" w:eastAsia="楷体" w:cs="楷体"/>
          <w:sz w:val="28"/>
          <w:szCs w:val="28"/>
        </w:rPr>
        <w:t>基金投资策略</w:t>
      </w:r>
      <w:bookmarkEnd w:id="80"/>
      <w:bookmarkEnd w:id="81"/>
      <w:bookmarkEnd w:id="82"/>
      <w:bookmarkEnd w:id="83"/>
      <w:bookmarkEnd w:id="84"/>
    </w:p>
    <w:p w14:paraId="31A49E25">
      <w:pPr>
        <w:overflowPunct w:val="0"/>
        <w:spacing w:line="600" w:lineRule="exact"/>
        <w:ind w:firstLine="562" w:firstLineChars="200"/>
        <w:rPr>
          <w:rFonts w:ascii="仿宋_GB2312" w:hAnsi="宋体" w:eastAsia="仿宋_GB2312"/>
          <w:b/>
          <w:bCs/>
          <w:sz w:val="28"/>
          <w:szCs w:val="28"/>
        </w:rPr>
      </w:pPr>
      <w:r>
        <w:rPr>
          <w:rFonts w:ascii="仿宋_GB2312" w:hAnsi="宋体" w:eastAsia="仿宋_GB2312"/>
          <w:b/>
          <w:bCs/>
          <w:sz w:val="28"/>
          <w:szCs w:val="28"/>
        </w:rPr>
        <w:t>1.投资领域</w:t>
      </w:r>
    </w:p>
    <w:p w14:paraId="7A45CA56">
      <w:pPr>
        <w:overflowPunct w:val="0"/>
        <w:spacing w:line="600" w:lineRule="exact"/>
        <w:ind w:firstLine="562" w:firstLineChars="200"/>
        <w:rPr>
          <w:rFonts w:ascii="仿宋_GB2312" w:hAnsi="宋体" w:eastAsia="仿宋_GB2312"/>
          <w:b/>
          <w:bCs/>
          <w:sz w:val="28"/>
          <w:szCs w:val="28"/>
        </w:rPr>
      </w:pPr>
    </w:p>
    <w:p w14:paraId="75B57F33">
      <w:pPr>
        <w:overflowPunct w:val="0"/>
        <w:spacing w:line="6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rPr>
        <w:t>2.投资对象</w:t>
      </w:r>
    </w:p>
    <w:p w14:paraId="31E529E5">
      <w:pPr>
        <w:overflowPunct w:val="0"/>
        <w:spacing w:line="600" w:lineRule="exact"/>
        <w:ind w:firstLine="560" w:firstLineChars="200"/>
        <w:rPr>
          <w:rFonts w:ascii="仿宋_GB2312" w:hAnsi="宋体" w:eastAsia="仿宋_GB2312"/>
          <w:sz w:val="28"/>
          <w:szCs w:val="28"/>
        </w:rPr>
      </w:pPr>
    </w:p>
    <w:p w14:paraId="120BC7FB">
      <w:pPr>
        <w:overflowPunct w:val="0"/>
        <w:spacing w:line="600" w:lineRule="exact"/>
        <w:ind w:firstLine="562" w:firstLineChars="200"/>
        <w:rPr>
          <w:rFonts w:hint="eastAsia" w:ascii="仿宋_GB2312" w:hAnsi="宋体" w:eastAsia="仿宋_GB2312"/>
          <w:b/>
          <w:bCs/>
          <w:sz w:val="28"/>
          <w:szCs w:val="28"/>
          <w:lang w:eastAsia="zh-CN"/>
        </w:rPr>
      </w:pPr>
      <w:r>
        <w:rPr>
          <w:rFonts w:hint="eastAsia" w:ascii="仿宋_GB2312" w:hAnsi="宋体" w:eastAsia="仿宋_GB2312"/>
          <w:b/>
          <w:bCs/>
          <w:sz w:val="28"/>
          <w:szCs w:val="28"/>
        </w:rPr>
        <w:t>3.投资地域</w:t>
      </w:r>
      <w:r>
        <w:rPr>
          <w:rFonts w:hint="eastAsia" w:ascii="仿宋_GB2312" w:hAnsi="宋体" w:eastAsia="仿宋_GB2312"/>
          <w:b/>
          <w:bCs/>
          <w:sz w:val="28"/>
          <w:szCs w:val="28"/>
          <w:lang w:eastAsia="zh-CN"/>
        </w:rPr>
        <w:t>及返投金额</w:t>
      </w:r>
    </w:p>
    <w:p w14:paraId="77BFDABF">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投资于</w:t>
      </w:r>
      <w:r>
        <w:rPr>
          <w:rFonts w:hint="eastAsia" w:ascii="仿宋_GB2312" w:hAnsi="宋体"/>
          <w:sz w:val="28"/>
          <w:szCs w:val="28"/>
          <w:lang w:eastAsia="zh-CN"/>
        </w:rPr>
        <w:t>保定域内</w:t>
      </w:r>
      <w:r>
        <w:rPr>
          <w:rFonts w:hint="eastAsia" w:ascii="仿宋_GB2312" w:hAnsi="宋体" w:eastAsia="仿宋_GB2312"/>
          <w:sz w:val="28"/>
          <w:szCs w:val="28"/>
        </w:rPr>
        <w:t>资金不低于</w:t>
      </w:r>
      <w:r>
        <w:rPr>
          <w:rFonts w:hint="eastAsia" w:ascii="仿宋_GB2312" w:hAnsi="宋体"/>
          <w:sz w:val="28"/>
          <w:szCs w:val="28"/>
          <w:lang w:eastAsia="zh-CN"/>
        </w:rPr>
        <w:t>基金规模的</w:t>
      </w:r>
      <w:r>
        <w:rPr>
          <w:rFonts w:hint="eastAsia" w:ascii="仿宋_GB2312" w:hAnsi="宋体"/>
          <w:sz w:val="28"/>
          <w:szCs w:val="28"/>
          <w:lang w:val="en-US" w:eastAsia="zh-CN"/>
        </w:rPr>
        <w:t>70%</w:t>
      </w:r>
      <w:r>
        <w:rPr>
          <w:rFonts w:hint="eastAsia" w:ascii="仿宋_GB2312" w:hAnsi="宋体" w:eastAsia="仿宋_GB2312"/>
          <w:sz w:val="28"/>
          <w:szCs w:val="28"/>
        </w:rPr>
        <w:t>。</w:t>
      </w:r>
    </w:p>
    <w:p w14:paraId="4479308A">
      <w:pPr>
        <w:overflowPunct w:val="0"/>
        <w:spacing w:line="600" w:lineRule="exact"/>
        <w:ind w:firstLine="562" w:firstLineChars="200"/>
        <w:rPr>
          <w:rFonts w:hint="default"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4.返投认定标准及约束</w:t>
      </w:r>
    </w:p>
    <w:p w14:paraId="29D7DA89">
      <w:pPr>
        <w:pStyle w:val="34"/>
        <w:tabs>
          <w:tab w:val="left" w:pos="567"/>
        </w:tabs>
        <w:spacing w:afterLines="0" w:line="600" w:lineRule="exact"/>
        <w:ind w:firstLine="480"/>
        <w:contextualSpacing/>
        <w:rPr>
          <w:rFonts w:hint="eastAsia" w:ascii="仿宋_GB2312" w:hAnsi="宋体" w:eastAsia="仿宋_GB2312" w:cstheme="minorBidi"/>
          <w:kern w:val="2"/>
          <w:sz w:val="28"/>
          <w:szCs w:val="28"/>
          <w:lang w:val="en-US" w:eastAsia="zh-CN" w:bidi="ar-SA"/>
        </w:rPr>
      </w:pPr>
      <w:r>
        <w:rPr>
          <w:rFonts w:hint="eastAsia" w:ascii="仿宋_GB2312" w:hAnsi="宋体" w:eastAsia="仿宋_GB2312" w:cstheme="minorBidi"/>
          <w:kern w:val="2"/>
          <w:sz w:val="28"/>
          <w:szCs w:val="28"/>
          <w:lang w:val="en-US" w:eastAsia="zh-CN" w:bidi="ar-SA"/>
        </w:rPr>
        <w:t>（1）返投认定计算</w:t>
      </w:r>
    </w:p>
    <w:p w14:paraId="0C91BBD2">
      <w:pPr>
        <w:pStyle w:val="34"/>
        <w:tabs>
          <w:tab w:val="left" w:pos="567"/>
        </w:tabs>
        <w:spacing w:afterLines="0" w:line="600" w:lineRule="exact"/>
        <w:ind w:firstLine="480"/>
        <w:contextualSpacing/>
        <w:rPr>
          <w:rFonts w:hint="eastAsia" w:ascii="仿宋_GB2312" w:hAnsi="宋体" w:eastAsia="仿宋_GB2312" w:cstheme="minorBidi"/>
          <w:kern w:val="2"/>
          <w:sz w:val="28"/>
          <w:szCs w:val="28"/>
          <w:lang w:val="en-US" w:eastAsia="zh-CN" w:bidi="ar-SA"/>
        </w:rPr>
      </w:pPr>
      <w:r>
        <w:rPr>
          <w:rFonts w:hint="eastAsia" w:ascii="仿宋_GB2312" w:hAnsi="宋体" w:cstheme="minorBidi"/>
          <w:kern w:val="2"/>
          <w:sz w:val="28"/>
          <w:szCs w:val="28"/>
          <w:lang w:val="en-US" w:eastAsia="zh-CN" w:bidi="ar-SA"/>
        </w:rPr>
        <w:t>后续合伙协议中约定</w:t>
      </w:r>
    </w:p>
    <w:p w14:paraId="0AFA102E">
      <w:pPr>
        <w:pStyle w:val="34"/>
        <w:tabs>
          <w:tab w:val="left" w:pos="567"/>
        </w:tabs>
        <w:spacing w:afterLines="0" w:line="600" w:lineRule="exact"/>
        <w:ind w:firstLine="480"/>
        <w:contextualSpacing/>
        <w:rPr>
          <w:rFonts w:hint="eastAsia" w:ascii="仿宋_GB2312" w:hAnsi="宋体" w:eastAsia="仿宋_GB2312" w:cstheme="minorBidi"/>
          <w:kern w:val="2"/>
          <w:sz w:val="28"/>
          <w:szCs w:val="28"/>
          <w:lang w:val="en-US" w:eastAsia="zh-CN" w:bidi="ar-SA"/>
        </w:rPr>
      </w:pPr>
      <w:r>
        <w:rPr>
          <w:rFonts w:hint="eastAsia" w:ascii="仿宋_GB2312" w:hAnsi="宋体" w:eastAsia="仿宋_GB2312" w:cstheme="minorBidi"/>
          <w:kern w:val="2"/>
          <w:sz w:val="28"/>
          <w:szCs w:val="28"/>
          <w:lang w:val="en-US" w:eastAsia="zh-CN" w:bidi="ar-SA"/>
        </w:rPr>
        <w:t>（2）返投约束</w:t>
      </w:r>
    </w:p>
    <w:p w14:paraId="7CF22D74">
      <w:pPr>
        <w:overflowPunct w:val="0"/>
        <w:spacing w:line="600" w:lineRule="exact"/>
        <w:ind w:firstLine="560" w:firstLineChars="200"/>
        <w:rPr>
          <w:rFonts w:hint="eastAsia" w:ascii="仿宋_GB2312" w:hAnsi="宋体" w:eastAsia="仿宋_GB2312"/>
          <w:b/>
          <w:bCs/>
          <w:sz w:val="28"/>
          <w:szCs w:val="28"/>
        </w:rPr>
      </w:pPr>
      <w:r>
        <w:rPr>
          <w:rFonts w:hint="eastAsia" w:ascii="仿宋_GB2312" w:hAnsi="宋体" w:eastAsia="仿宋_GB2312"/>
          <w:sz w:val="28"/>
          <w:szCs w:val="28"/>
        </w:rPr>
        <w:t>合伙企业注册满两年或投资金额达到注册资本的50%时，如未完成返投要求，河北省科技金融发展促进中心有权对后续非返投项目行使一票否决权。</w:t>
      </w:r>
    </w:p>
    <w:p w14:paraId="06CC3505">
      <w:pPr>
        <w:overflowPunct w:val="0"/>
        <w:spacing w:line="6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lang w:val="en-US" w:eastAsia="zh-CN"/>
        </w:rPr>
        <w:t>5</w:t>
      </w:r>
      <w:r>
        <w:rPr>
          <w:rFonts w:hint="eastAsia" w:ascii="仿宋_GB2312" w:hAnsi="宋体" w:eastAsia="仿宋_GB2312"/>
          <w:b/>
          <w:bCs/>
          <w:sz w:val="28"/>
          <w:szCs w:val="28"/>
        </w:rPr>
        <w:t>.投资限制</w:t>
      </w:r>
    </w:p>
    <w:p w14:paraId="5E374381">
      <w:pPr>
        <w:pStyle w:val="2"/>
        <w:numPr>
          <w:ilvl w:val="0"/>
          <w:numId w:val="6"/>
        </w:numPr>
        <w:spacing w:line="60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原则上本合伙企业对于单个企业的累计投资金额不超过本合伙企业注册资本的20%；本合伙企业对单个企业股权投资的资金总额原则上不超过被投资企业总股本的30%且不能成为最大股东。</w:t>
      </w:r>
    </w:p>
    <w:p w14:paraId="351CBCB3">
      <w:pPr>
        <w:pStyle w:val="2"/>
        <w:numPr>
          <w:ilvl w:val="0"/>
          <w:numId w:val="6"/>
        </w:numPr>
        <w:spacing w:line="60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经合伙人大会一致同意，可调整上述投资比例。</w:t>
      </w:r>
    </w:p>
    <w:p w14:paraId="66C6A833">
      <w:pPr>
        <w:pStyle w:val="2"/>
        <w:numPr>
          <w:ilvl w:val="0"/>
          <w:numId w:val="6"/>
        </w:numPr>
        <w:spacing w:line="60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本合伙企业退出项目的本金及利润不得再次对外投资，应在收回本金或利润后的一定时限内进行分配。</w:t>
      </w:r>
    </w:p>
    <w:p w14:paraId="770AAA9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（3）基金在运作过程中不得从事以下业务：</w:t>
      </w:r>
    </w:p>
    <w:p w14:paraId="7E44F1C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①从事融资担保以外的担保、抵押、委托贷款等业务；</w:t>
      </w:r>
    </w:p>
    <w:p w14:paraId="50B74C22">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②投资二级市场股票、期货、房地产、证券投资基金、评级 AAA 以下的企业债、信托产品、非保本型理财产品、保险计划及其他金融衍生品；</w:t>
      </w:r>
    </w:p>
    <w:p w14:paraId="24988ED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③向任何第三方提供赞助、捐赠（经批准的公益性捐赠除外）；</w:t>
      </w:r>
    </w:p>
    <w:p w14:paraId="2E16E60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④吸收或变相吸收存款，或向第三方提供贷款和资金拆借；</w:t>
      </w:r>
    </w:p>
    <w:p w14:paraId="690C55E9">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⑤明股实债等变相增加政府债务的业务；</w:t>
      </w:r>
    </w:p>
    <w:p w14:paraId="5CDCBABE">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⑥进行承担无限连带责任的对外投资；</w:t>
      </w:r>
    </w:p>
    <w:p w14:paraId="2228F99E">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⑦发行信托或集合理财产品募集资金；</w:t>
      </w:r>
    </w:p>
    <w:p w14:paraId="48CF528B">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⑧其他国家法律法规禁止从事的业务。</w:t>
      </w:r>
    </w:p>
    <w:p w14:paraId="4A91C066">
      <w:pPr>
        <w:overflowPunct w:val="0"/>
        <w:spacing w:line="600" w:lineRule="exact"/>
        <w:ind w:firstLine="562" w:firstLineChars="200"/>
        <w:rPr>
          <w:rFonts w:hint="eastAsia" w:ascii="仿宋_GB2312" w:hAnsi="宋体" w:eastAsia="仿宋_GB2312"/>
          <w:b/>
          <w:bCs/>
          <w:sz w:val="28"/>
          <w:szCs w:val="28"/>
          <w:lang w:eastAsia="zh-CN"/>
        </w:rPr>
      </w:pPr>
      <w:r>
        <w:rPr>
          <w:rFonts w:hint="eastAsia" w:ascii="仿宋_GB2312" w:hAnsi="宋体" w:eastAsia="仿宋_GB2312"/>
          <w:b/>
          <w:bCs/>
          <w:sz w:val="28"/>
          <w:szCs w:val="28"/>
          <w:lang w:val="en-US" w:eastAsia="zh-CN"/>
        </w:rPr>
        <w:t>6</w:t>
      </w:r>
      <w:r>
        <w:rPr>
          <w:rFonts w:ascii="仿宋_GB2312" w:hAnsi="宋体" w:eastAsia="仿宋_GB2312"/>
          <w:b/>
          <w:bCs/>
          <w:sz w:val="28"/>
          <w:szCs w:val="28"/>
        </w:rPr>
        <w:t>．</w:t>
      </w:r>
      <w:r>
        <w:rPr>
          <w:rFonts w:hint="eastAsia" w:ascii="仿宋_GB2312" w:hAnsi="宋体" w:eastAsia="仿宋_GB2312"/>
          <w:b/>
          <w:bCs/>
          <w:sz w:val="28"/>
          <w:szCs w:val="28"/>
        </w:rPr>
        <w:t>投资进度</w:t>
      </w:r>
      <w:r>
        <w:rPr>
          <w:rFonts w:hint="eastAsia" w:ascii="仿宋_GB2312" w:hAnsi="宋体" w:eastAsia="仿宋_GB2312"/>
          <w:b/>
          <w:bCs/>
          <w:sz w:val="28"/>
          <w:szCs w:val="28"/>
          <w:lang w:eastAsia="zh-CN"/>
        </w:rPr>
        <w:t>安排</w:t>
      </w:r>
    </w:p>
    <w:p w14:paraId="2E547C89">
      <w:pPr>
        <w:overflowPunct w:val="0"/>
        <w:spacing w:line="600" w:lineRule="exact"/>
        <w:ind w:firstLine="562" w:firstLineChars="200"/>
        <w:rPr>
          <w:rFonts w:ascii="仿宋_GB2312" w:hAnsi="宋体" w:eastAsia="仿宋_GB2312"/>
          <w:b/>
          <w:bCs/>
          <w:sz w:val="28"/>
          <w:szCs w:val="28"/>
        </w:rPr>
      </w:pPr>
    </w:p>
    <w:p w14:paraId="041D964D">
      <w:pPr>
        <w:overflowPunct w:val="0"/>
        <w:spacing w:line="6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lang w:val="en-US" w:eastAsia="zh-CN"/>
        </w:rPr>
        <w:t>7</w:t>
      </w:r>
      <w:r>
        <w:rPr>
          <w:rFonts w:ascii="仿宋_GB2312" w:hAnsi="宋体" w:eastAsia="仿宋_GB2312"/>
          <w:b/>
          <w:bCs/>
          <w:sz w:val="28"/>
          <w:szCs w:val="28"/>
        </w:rPr>
        <w:t>．</w:t>
      </w:r>
      <w:r>
        <w:rPr>
          <w:rFonts w:hint="eastAsia" w:ascii="仿宋_GB2312" w:hAnsi="宋体" w:eastAsia="仿宋_GB2312"/>
          <w:b/>
          <w:bCs/>
          <w:sz w:val="28"/>
          <w:szCs w:val="28"/>
        </w:rPr>
        <w:t>项目筛选标准</w:t>
      </w:r>
    </w:p>
    <w:p w14:paraId="2E36B331">
      <w:pPr>
        <w:pStyle w:val="23"/>
        <w:overflowPunct w:val="0"/>
        <w:spacing w:line="600" w:lineRule="exact"/>
        <w:ind w:firstLine="560"/>
        <w:rPr>
          <w:rFonts w:ascii="仿宋_GB2312" w:hAnsi="宋体" w:eastAsia="仿宋_GB2312"/>
          <w:sz w:val="28"/>
          <w:szCs w:val="28"/>
        </w:rPr>
      </w:pPr>
    </w:p>
    <w:p w14:paraId="7116D2C5">
      <w:pPr>
        <w:overflowPunct w:val="0"/>
        <w:spacing w:line="6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lang w:val="en-US" w:eastAsia="zh-CN"/>
        </w:rPr>
        <w:t>8</w:t>
      </w:r>
      <w:r>
        <w:rPr>
          <w:rFonts w:ascii="仿宋_GB2312" w:hAnsi="宋体" w:eastAsia="仿宋_GB2312"/>
          <w:b/>
          <w:bCs/>
          <w:sz w:val="28"/>
          <w:szCs w:val="28"/>
        </w:rPr>
        <w:t>．</w:t>
      </w:r>
      <w:r>
        <w:rPr>
          <w:rFonts w:hint="eastAsia" w:ascii="仿宋_GB2312" w:hAnsi="宋体" w:eastAsia="仿宋_GB2312"/>
          <w:b/>
          <w:bCs/>
          <w:sz w:val="28"/>
          <w:szCs w:val="28"/>
        </w:rPr>
        <w:t>投资决策机制</w:t>
      </w:r>
    </w:p>
    <w:p w14:paraId="3C94B99E">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本合伙企业设立投委会。投委会为合伙企业投资决策机构。</w:t>
      </w:r>
    </w:p>
    <w:p w14:paraId="7E95575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（1）投委会组成</w:t>
      </w:r>
    </w:p>
    <w:p w14:paraId="1F386F84">
      <w:pPr>
        <w:overflowPunct w:val="0"/>
        <w:spacing w:line="60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rPr>
        <w:t>投委会由</w:t>
      </w:r>
      <w:r>
        <w:rPr>
          <w:rFonts w:hint="eastAsia" w:ascii="仿宋_GB2312" w:hAnsi="宋体" w:eastAsia="仿宋_GB2312"/>
          <w:color w:val="FF0000"/>
          <w:sz w:val="28"/>
          <w:szCs w:val="28"/>
          <w:u w:val="single"/>
        </w:rPr>
        <w:t>x名</w:t>
      </w:r>
      <w:r>
        <w:rPr>
          <w:rFonts w:hint="eastAsia" w:ascii="仿宋_GB2312" w:hAnsi="宋体" w:eastAsia="仿宋_GB2312"/>
          <w:color w:val="FF0000"/>
          <w:sz w:val="28"/>
          <w:szCs w:val="28"/>
        </w:rPr>
        <w:t>委员</w:t>
      </w:r>
      <w:r>
        <w:rPr>
          <w:rFonts w:hint="eastAsia" w:ascii="仿宋_GB2312" w:hAnsi="宋体" w:eastAsia="仿宋_GB2312"/>
          <w:sz w:val="28"/>
          <w:szCs w:val="28"/>
        </w:rPr>
        <w:t>组成，其中，河北省科技金融发展促进中心委派</w:t>
      </w:r>
      <w:r>
        <w:rPr>
          <w:rFonts w:hint="eastAsia" w:ascii="仿宋_GB2312" w:hAnsi="宋体" w:eastAsia="仿宋_GB2312"/>
          <w:color w:val="FF0000"/>
          <w:sz w:val="28"/>
          <w:szCs w:val="28"/>
          <w:u w:val="single"/>
        </w:rPr>
        <w:t>x名</w:t>
      </w:r>
      <w:r>
        <w:rPr>
          <w:rFonts w:hint="eastAsia" w:ascii="仿宋_GB2312" w:hAnsi="宋体" w:eastAsia="仿宋_GB2312"/>
          <w:sz w:val="28"/>
          <w:szCs w:val="28"/>
        </w:rPr>
        <w:t>，</w:t>
      </w:r>
      <w:r>
        <w:rPr>
          <w:rFonts w:hint="eastAsia" w:ascii="仿宋_GB2312" w:hAnsi="宋体" w:eastAsia="仿宋_GB2312"/>
          <w:color w:val="FF0000"/>
          <w:sz w:val="28"/>
          <w:szCs w:val="28"/>
          <w:u w:val="single"/>
        </w:rPr>
        <w:t>xx公司</w:t>
      </w:r>
      <w:r>
        <w:rPr>
          <w:rFonts w:hint="eastAsia" w:ascii="仿宋_GB2312" w:hAnsi="宋体" w:eastAsia="仿宋_GB2312"/>
          <w:sz w:val="28"/>
          <w:szCs w:val="28"/>
        </w:rPr>
        <w:t>委派</w:t>
      </w:r>
      <w:r>
        <w:rPr>
          <w:rFonts w:hint="eastAsia" w:ascii="仿宋_GB2312" w:hAnsi="宋体" w:eastAsia="仿宋_GB2312"/>
          <w:color w:val="FF0000"/>
          <w:sz w:val="28"/>
          <w:szCs w:val="28"/>
          <w:u w:val="single"/>
        </w:rPr>
        <w:t>x名,xx公司</w:t>
      </w:r>
      <w:r>
        <w:rPr>
          <w:rFonts w:hint="eastAsia" w:ascii="仿宋_GB2312" w:hAnsi="宋体" w:eastAsia="仿宋_GB2312"/>
          <w:sz w:val="28"/>
          <w:szCs w:val="28"/>
        </w:rPr>
        <w:t>委派</w:t>
      </w:r>
      <w:r>
        <w:rPr>
          <w:rFonts w:hint="eastAsia" w:ascii="仿宋_GB2312" w:hAnsi="宋体" w:eastAsia="仿宋_GB2312"/>
          <w:color w:val="FF0000"/>
          <w:sz w:val="28"/>
          <w:szCs w:val="28"/>
          <w:u w:val="single"/>
        </w:rPr>
        <w:t>x名。</w:t>
      </w:r>
      <w:r>
        <w:rPr>
          <w:rFonts w:hint="eastAsia" w:ascii="仿宋_GB2312" w:hAnsi="宋体"/>
          <w:color w:val="FF0000"/>
          <w:sz w:val="28"/>
          <w:szCs w:val="28"/>
          <w:u w:val="single"/>
          <w:lang w:eastAsia="zh-CN"/>
        </w:rPr>
        <w:t>产发集团委派观察员</w:t>
      </w:r>
      <w:r>
        <w:rPr>
          <w:rFonts w:hint="eastAsia" w:ascii="仿宋_GB2312" w:hAnsi="宋体"/>
          <w:color w:val="FF0000"/>
          <w:sz w:val="28"/>
          <w:szCs w:val="28"/>
          <w:u w:val="single"/>
          <w:lang w:val="en-US" w:eastAsia="zh-CN"/>
        </w:rPr>
        <w:t>1名。</w:t>
      </w:r>
    </w:p>
    <w:p w14:paraId="3C8A4C3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（2）投委会议事规则</w:t>
      </w:r>
    </w:p>
    <w:p w14:paraId="760F6EB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①投委会会议表决采用书面形式，投委会委员一人一票；</w:t>
      </w:r>
    </w:p>
    <w:p w14:paraId="2DC220C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②投委会表决事项经全体委员表决，</w:t>
      </w:r>
      <w:r>
        <w:rPr>
          <w:rFonts w:hint="eastAsia" w:ascii="仿宋_GB2312" w:hAnsi="宋体" w:eastAsia="仿宋_GB2312"/>
          <w:color w:val="FF0000"/>
          <w:sz w:val="28"/>
          <w:szCs w:val="28"/>
          <w:u w:val="single"/>
        </w:rPr>
        <w:t xml:space="preserve">      </w:t>
      </w:r>
      <w:r>
        <w:rPr>
          <w:rFonts w:hint="eastAsia" w:ascii="仿宋_GB2312" w:hAnsi="宋体" w:eastAsia="仿宋_GB2312"/>
          <w:sz w:val="28"/>
          <w:szCs w:val="28"/>
        </w:rPr>
        <w:t>以上（即</w:t>
      </w:r>
      <w:r>
        <w:rPr>
          <w:rFonts w:hint="eastAsia" w:ascii="仿宋_GB2312" w:hAnsi="宋体" w:eastAsia="仿宋_GB2312"/>
          <w:color w:val="FF0000"/>
          <w:sz w:val="28"/>
          <w:szCs w:val="28"/>
          <w:u w:val="single"/>
        </w:rPr>
        <w:t>x票</w:t>
      </w:r>
      <w:r>
        <w:rPr>
          <w:rFonts w:hint="eastAsia" w:ascii="仿宋_GB2312" w:hAnsi="宋体" w:eastAsia="仿宋_GB2312"/>
          <w:sz w:val="28"/>
          <w:szCs w:val="28"/>
        </w:rPr>
        <w:t>及以上）同意即为通过；投委会做出决议后，交由基金管理人负责办理具体事务。</w:t>
      </w:r>
    </w:p>
    <w:p w14:paraId="0E00EC55">
      <w:pPr>
        <w:overflowPunct w:val="0"/>
        <w:spacing w:line="600" w:lineRule="exact"/>
        <w:ind w:firstLine="560" w:firstLineChars="200"/>
      </w:pPr>
      <w:r>
        <w:rPr>
          <w:rFonts w:hint="eastAsia" w:ascii="仿宋_GB2312" w:hAnsi="宋体" w:eastAsia="仿宋_GB2312"/>
          <w:sz w:val="28"/>
          <w:szCs w:val="28"/>
        </w:rPr>
        <w:t>③河北省科技金融发展促进中心</w:t>
      </w:r>
      <w:r>
        <w:rPr>
          <w:rFonts w:hint="eastAsia" w:ascii="仿宋_GB2312" w:hAnsi="宋体"/>
          <w:sz w:val="28"/>
          <w:szCs w:val="28"/>
          <w:lang w:eastAsia="zh-CN"/>
        </w:rPr>
        <w:t>、产发集团</w:t>
      </w:r>
      <w:r>
        <w:rPr>
          <w:rFonts w:hint="eastAsia" w:ascii="仿宋_GB2312" w:hAnsi="宋体" w:eastAsia="仿宋_GB2312"/>
          <w:sz w:val="28"/>
          <w:szCs w:val="28"/>
        </w:rPr>
        <w:t>有权对不符合《河北省科技投资引导基金管理办法》</w:t>
      </w:r>
      <w:r>
        <w:rPr>
          <w:rFonts w:hint="eastAsia" w:ascii="仿宋_GB2312" w:hAnsi="宋体"/>
          <w:sz w:val="28"/>
          <w:szCs w:val="28"/>
          <w:lang w:eastAsia="zh-CN"/>
        </w:rPr>
        <w:t>、《《保定市政府投资基金管理暂行办法》（保政规〔2024〕6号）》、</w:t>
      </w:r>
      <w:r>
        <w:rPr>
          <w:rFonts w:hint="eastAsia" w:ascii="仿宋_GB2312" w:hAnsi="宋体" w:eastAsia="仿宋_GB2312"/>
          <w:sz w:val="28"/>
          <w:szCs w:val="28"/>
        </w:rPr>
        <w:t>《合伙协议》有关规定的拟投项目行使一票否决权。河北省科技金融发展促进中心</w:t>
      </w:r>
      <w:r>
        <w:rPr>
          <w:rFonts w:hint="eastAsia" w:ascii="仿宋_GB2312" w:hAnsi="宋体"/>
          <w:sz w:val="28"/>
          <w:szCs w:val="28"/>
          <w:lang w:eastAsia="zh-CN"/>
        </w:rPr>
        <w:t>和产发集团</w:t>
      </w:r>
      <w:r>
        <w:rPr>
          <w:rFonts w:hint="eastAsia" w:ascii="仿宋_GB2312" w:hAnsi="宋体" w:eastAsia="仿宋_GB2312"/>
          <w:sz w:val="28"/>
          <w:szCs w:val="28"/>
        </w:rPr>
        <w:t>一票否决的项目，基金管理人不得实施投资。</w:t>
      </w:r>
    </w:p>
    <w:p w14:paraId="5256A623">
      <w:pPr>
        <w:overflowPunct w:val="0"/>
        <w:spacing w:line="600" w:lineRule="exact"/>
        <w:ind w:firstLine="562" w:firstLineChars="200"/>
        <w:rPr>
          <w:rFonts w:ascii="仿宋_GB2312" w:hAnsi="宋体" w:eastAsia="仿宋_GB2312"/>
          <w:sz w:val="28"/>
          <w:szCs w:val="28"/>
        </w:rPr>
      </w:pPr>
      <w:r>
        <w:rPr>
          <w:rFonts w:hint="eastAsia" w:ascii="仿宋_GB2312" w:hAnsi="宋体" w:eastAsia="仿宋_GB2312"/>
          <w:b/>
          <w:bCs/>
          <w:sz w:val="28"/>
          <w:szCs w:val="28"/>
          <w:lang w:val="en-US" w:eastAsia="zh-CN"/>
        </w:rPr>
        <w:t>9</w:t>
      </w:r>
      <w:r>
        <w:rPr>
          <w:rFonts w:ascii="仿宋_GB2312" w:hAnsi="宋体" w:eastAsia="仿宋_GB2312"/>
          <w:b/>
          <w:bCs/>
          <w:sz w:val="28"/>
          <w:szCs w:val="28"/>
        </w:rPr>
        <w:t>．增值服务</w:t>
      </w:r>
    </w:p>
    <w:p w14:paraId="5C00DF88">
      <w:pPr>
        <w:overflowPunct w:val="0"/>
        <w:spacing w:line="600" w:lineRule="exact"/>
        <w:ind w:firstLine="562" w:firstLineChars="200"/>
        <w:rPr>
          <w:rFonts w:ascii="仿宋_GB2312" w:hAnsi="宋体" w:eastAsia="仿宋_GB2312"/>
          <w:b/>
          <w:bCs/>
          <w:sz w:val="28"/>
          <w:szCs w:val="28"/>
        </w:rPr>
      </w:pPr>
    </w:p>
    <w:p w14:paraId="1D2155DB">
      <w:pPr>
        <w:overflowPunct w:val="0"/>
        <w:spacing w:line="600" w:lineRule="exact"/>
        <w:ind w:firstLine="562" w:firstLineChars="200"/>
        <w:rPr>
          <w:rFonts w:ascii="仿宋_GB2312" w:hAnsi="宋体" w:eastAsia="仿宋_GB2312"/>
          <w:b/>
          <w:bCs/>
          <w:sz w:val="28"/>
          <w:szCs w:val="28"/>
        </w:rPr>
      </w:pPr>
      <w:r>
        <w:rPr>
          <w:rFonts w:hint="eastAsia" w:ascii="仿宋_GB2312" w:hAnsi="宋体" w:eastAsia="仿宋_GB2312"/>
          <w:b/>
          <w:bCs/>
          <w:sz w:val="28"/>
          <w:szCs w:val="28"/>
          <w:lang w:val="en-US" w:eastAsia="zh-CN"/>
        </w:rPr>
        <w:t>10</w:t>
      </w:r>
      <w:r>
        <w:rPr>
          <w:rFonts w:hint="eastAsia" w:ascii="仿宋_GB2312" w:hAnsi="宋体" w:eastAsia="仿宋_GB2312"/>
          <w:b/>
          <w:bCs/>
          <w:sz w:val="28"/>
          <w:szCs w:val="28"/>
        </w:rPr>
        <w:t>．风险防范</w:t>
      </w:r>
    </w:p>
    <w:p w14:paraId="45D73E24">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金管理人要加强对基金运作的风险监控，切实做好风险防范和管控工作。风险控制应涵盖项目选择、项目投资、项目管理、项目退出等各环节；要按财政部等部门印发的企业内部控制规范体系的要求，建立健全包括风险管理制度、风险管理组织和风险控制流程在内的风险管理体系，确保基金投资活动在风险可控的前提下有序运作。</w:t>
      </w:r>
    </w:p>
    <w:p w14:paraId="695B88A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（2）基金不得以任何方式承诺回购社会资本方的投资本金，不得以任何方式承担社会资本方的投资本金损失，不得以任何方式向社会资本方承诺最低收益。</w:t>
      </w:r>
    </w:p>
    <w:p w14:paraId="20D1F32E">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（3）出现以下玩忽职守、未履职尽责、未按规定程序决策等情形且给各出资方投资资金造成损失的，经有关部门调查和认定后，对相关责任人员予以行政或经济处罚，涉嫌犯罪的移交司法机关处理：</w:t>
      </w:r>
    </w:p>
    <w:p w14:paraId="4D05B0DD">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①未按程序实施立项、尽调、投资决策的；</w:t>
      </w:r>
    </w:p>
    <w:p w14:paraId="0F044D1A">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②未按规定对拟投资企业财务情况进行第三方审计、评估的；</w:t>
      </w:r>
    </w:p>
    <w:p w14:paraId="487E9CEB">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③对第三方审计机构已经出具保留意见、否定意见或无法表示意见的审计报告，但未予采纳仍给予投资的；</w:t>
      </w:r>
    </w:p>
    <w:p w14:paraId="406BE290">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④与机构(企业)内外勾结、暗箱操作，影响第三方中介机构及专家出具独立性、客观性意见的；</w:t>
      </w:r>
    </w:p>
    <w:p w14:paraId="73A3B47C">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⑤其他违规违法行为。</w:t>
      </w:r>
    </w:p>
    <w:p w14:paraId="5A5B0C61">
      <w:pPr>
        <w:overflowPunct w:val="0"/>
        <w:spacing w:line="600" w:lineRule="exact"/>
        <w:ind w:firstLine="562" w:firstLineChars="200"/>
        <w:rPr>
          <w:rFonts w:eastAsia="仿宋_GB2312"/>
          <w:b/>
          <w:bCs/>
          <w:sz w:val="28"/>
          <w:szCs w:val="28"/>
        </w:rPr>
      </w:pPr>
      <w:r>
        <w:rPr>
          <w:rFonts w:hint="eastAsia" w:ascii="仿宋_GB2312" w:hAnsi="宋体" w:eastAsia="仿宋_GB2312"/>
          <w:b/>
          <w:bCs/>
          <w:sz w:val="28"/>
          <w:szCs w:val="28"/>
        </w:rPr>
        <w:t>1</w:t>
      </w:r>
      <w:r>
        <w:rPr>
          <w:rFonts w:hint="eastAsia" w:ascii="仿宋_GB2312" w:hAnsi="宋体" w:eastAsia="仿宋_GB2312"/>
          <w:b/>
          <w:bCs/>
          <w:sz w:val="28"/>
          <w:szCs w:val="28"/>
          <w:lang w:val="en-US" w:eastAsia="zh-CN"/>
        </w:rPr>
        <w:t>1</w:t>
      </w:r>
      <w:r>
        <w:rPr>
          <w:rFonts w:ascii="仿宋_GB2312" w:hAnsi="宋体" w:eastAsia="仿宋_GB2312"/>
          <w:b/>
          <w:bCs/>
          <w:sz w:val="28"/>
          <w:szCs w:val="28"/>
        </w:rPr>
        <w:t>．</w:t>
      </w:r>
      <w:r>
        <w:rPr>
          <w:rFonts w:hint="eastAsia" w:ascii="仿宋_GB2312" w:hAnsi="宋体" w:eastAsia="仿宋_GB2312"/>
          <w:b/>
          <w:bCs/>
          <w:sz w:val="28"/>
          <w:szCs w:val="28"/>
        </w:rPr>
        <w:t>投资退出</w:t>
      </w:r>
    </w:p>
    <w:p w14:paraId="69109F7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（1）常规退出</w:t>
      </w:r>
    </w:p>
    <w:p w14:paraId="64E01E6F">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合伙企业实施投资时，应在投资协议中明确退出条件和方式，在达到一定投资年限或约定条件时，适时实施退出。包括但不限于项目估值增长后的部分退出、IPO或者挂牌退出、上市公司并购退出、项目方大股东回购退出、权益转让退出、换股退出、清算退出，以及投委会认可的其他退出方式。</w:t>
      </w:r>
    </w:p>
    <w:p w14:paraId="5EACF358">
      <w:pPr>
        <w:spacing w:line="600" w:lineRule="exact"/>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rPr>
        <w:t>（2）非常规退出</w:t>
      </w:r>
    </w:p>
    <w:p w14:paraId="73C3033F">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在以下情形出现时，基金管理人拟定合理可行的退出方案(</w:t>
      </w:r>
      <w:r>
        <w:rPr>
          <w:rFonts w:ascii="仿宋_GB2312" w:hAnsi="仿宋_GB2312" w:eastAsia="仿宋_GB2312" w:cs="仿宋_GB2312"/>
          <w:sz w:val="28"/>
          <w:szCs w:val="28"/>
        </w:rPr>
        <w:t>内容</w:t>
      </w:r>
      <w:r>
        <w:rPr>
          <w:rFonts w:hint="eastAsia" w:ascii="仿宋_GB2312" w:hAnsi="仿宋_GB2312" w:eastAsia="仿宋_GB2312" w:cs="仿宋_GB2312"/>
          <w:sz w:val="28"/>
          <w:szCs w:val="28"/>
        </w:rPr>
        <w:t>包括退出的时间、价格和出让对象等),经由投委会决策后实施退出：</w:t>
      </w:r>
    </w:p>
    <w:p w14:paraId="0FCE4431">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①</w:t>
      </w:r>
      <w:r>
        <w:rPr>
          <w:rFonts w:hint="eastAsia" w:ascii="仿宋_GB2312" w:hAnsi="仿宋_GB2312" w:eastAsia="仿宋_GB2312" w:cs="仿宋_GB2312"/>
          <w:sz w:val="28"/>
          <w:szCs w:val="28"/>
        </w:rPr>
        <w:t>被投项目违反国家相关法律法规；</w:t>
      </w:r>
    </w:p>
    <w:p w14:paraId="33401819">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②</w:t>
      </w:r>
      <w:r>
        <w:rPr>
          <w:rFonts w:hint="eastAsia" w:ascii="仿宋_GB2312" w:hAnsi="仿宋_GB2312" w:eastAsia="仿宋_GB2312" w:cs="仿宋_GB2312"/>
          <w:sz w:val="28"/>
          <w:szCs w:val="28"/>
        </w:rPr>
        <w:t>被投项目核心管理团队或经营策略发生重大变动，无法继续按约定实现政策目标；</w:t>
      </w:r>
    </w:p>
    <w:p w14:paraId="0DCEB904">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③</w:t>
      </w:r>
      <w:r>
        <w:rPr>
          <w:rFonts w:hint="eastAsia" w:ascii="仿宋_GB2312" w:hAnsi="仿宋_GB2312" w:eastAsia="仿宋_GB2312" w:cs="仿宋_GB2312"/>
          <w:sz w:val="28"/>
          <w:szCs w:val="28"/>
        </w:rPr>
        <w:t>其他需退出的情况。</w:t>
      </w:r>
    </w:p>
    <w:p w14:paraId="3999BE3C">
      <w:pPr>
        <w:pStyle w:val="2"/>
        <w:spacing w:line="600" w:lineRule="exact"/>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（3）提前退出条款</w:t>
      </w:r>
    </w:p>
    <w:p w14:paraId="1DB99AEE">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有下列情况之一时，河北省科技投资引导基金</w:t>
      </w:r>
      <w:r>
        <w:rPr>
          <w:rFonts w:hint="eastAsia" w:ascii="仿宋_GB2312" w:hAnsi="仿宋_GB2312" w:cs="仿宋_GB2312"/>
          <w:sz w:val="28"/>
          <w:szCs w:val="28"/>
          <w:lang w:eastAsia="zh-CN"/>
        </w:rPr>
        <w:t>、产发集团</w:t>
      </w:r>
      <w:r>
        <w:rPr>
          <w:rFonts w:hint="eastAsia" w:ascii="仿宋_GB2312" w:hAnsi="仿宋_GB2312" w:eastAsia="仿宋_GB2312" w:cs="仿宋_GB2312"/>
          <w:sz w:val="28"/>
          <w:szCs w:val="28"/>
        </w:rPr>
        <w:t>无需其他出资人同意，选择提前退出：</w:t>
      </w:r>
    </w:p>
    <w:p w14:paraId="1B3AFA3D">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①</w:t>
      </w:r>
      <w:r>
        <w:rPr>
          <w:rFonts w:hint="eastAsia" w:ascii="仿宋_GB2312" w:hAnsi="仿宋_GB2312" w:eastAsia="仿宋_GB2312" w:cs="仿宋_GB2312"/>
          <w:sz w:val="28"/>
          <w:szCs w:val="28"/>
        </w:rPr>
        <w:t>本合伙企业设立方案确认后超过1年，未按规定程序和时间要求完成设立手续的；</w:t>
      </w:r>
    </w:p>
    <w:p w14:paraId="3E4161D4">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②</w:t>
      </w:r>
      <w:r>
        <w:rPr>
          <w:rFonts w:hint="eastAsia" w:ascii="仿宋_GB2312" w:hAnsi="仿宋_GB2312" w:eastAsia="仿宋_GB2312" w:cs="仿宋_GB2312"/>
          <w:sz w:val="28"/>
          <w:szCs w:val="28"/>
        </w:rPr>
        <w:t>本合伙企业设立1年以上，未开展投资业务的；</w:t>
      </w:r>
    </w:p>
    <w:p w14:paraId="09CCF8EC">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③</w:t>
      </w:r>
      <w:r>
        <w:rPr>
          <w:rFonts w:hint="eastAsia" w:ascii="仿宋_GB2312" w:hAnsi="仿宋_GB2312" w:eastAsia="仿宋_GB2312" w:cs="仿宋_GB2312"/>
          <w:sz w:val="28"/>
          <w:szCs w:val="28"/>
        </w:rPr>
        <w:t>本合伙企业投资领域和方向不符合政策目标的；</w:t>
      </w:r>
    </w:p>
    <w:p w14:paraId="260CF79E">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④</w:t>
      </w:r>
      <w:r>
        <w:rPr>
          <w:rFonts w:hint="eastAsia" w:ascii="仿宋_GB2312" w:hAnsi="仿宋_GB2312" w:eastAsia="仿宋_GB2312" w:cs="仿宋_GB2312"/>
          <w:sz w:val="28"/>
          <w:szCs w:val="28"/>
        </w:rPr>
        <w:t>本合伙企业未按合伙协议约定投资的；</w:t>
      </w:r>
    </w:p>
    <w:p w14:paraId="0A7CA8C4">
      <w:pPr>
        <w:spacing w:line="600" w:lineRule="exact"/>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⑤</w:t>
      </w:r>
      <w:r>
        <w:rPr>
          <w:rFonts w:hint="eastAsia" w:ascii="仿宋_GB2312" w:hAnsi="仿宋_GB2312" w:eastAsia="仿宋_GB2312" w:cs="仿宋_GB2312"/>
          <w:sz w:val="28"/>
          <w:szCs w:val="28"/>
        </w:rPr>
        <w:t>基金管理人发生实质性变化的；</w:t>
      </w:r>
    </w:p>
    <w:p w14:paraId="25166E8B">
      <w:pPr>
        <w:spacing w:line="600" w:lineRule="exact"/>
        <w:ind w:firstLine="560" w:firstLineChars="200"/>
        <w:rPr>
          <w:rFonts w:hint="eastAsia" w:ascii="仿宋_GB2312" w:hAnsi="仿宋_GB2312" w:eastAsia="仿宋_GB2312" w:cs="仿宋_GB2312"/>
          <w:sz w:val="28"/>
          <w:szCs w:val="28"/>
        </w:rPr>
      </w:pPr>
      <w:r>
        <w:rPr>
          <w:rFonts w:hint="eastAsia" w:ascii="仿宋_GB2312" w:hAnsi="宋体" w:eastAsia="仿宋_GB2312"/>
          <w:sz w:val="28"/>
          <w:szCs w:val="28"/>
        </w:rPr>
        <w:t>⑥</w:t>
      </w:r>
      <w:r>
        <w:rPr>
          <w:rFonts w:hint="eastAsia" w:ascii="仿宋_GB2312" w:hAnsi="仿宋_GB2312" w:eastAsia="仿宋_GB2312" w:cs="仿宋_GB2312"/>
          <w:sz w:val="28"/>
          <w:szCs w:val="28"/>
        </w:rPr>
        <w:t>其他不符合河北省科技金融发展促进中心要求情形的。</w:t>
      </w:r>
    </w:p>
    <w:p w14:paraId="6DF493F8">
      <w:pPr>
        <w:pStyle w:val="2"/>
        <w:rPr>
          <w:rFonts w:hint="eastAsia" w:eastAsia="仿宋_GB2312"/>
          <w:lang w:eastAsia="zh-CN"/>
        </w:rPr>
      </w:pPr>
      <w:r>
        <w:rPr>
          <w:rFonts w:hint="eastAsia" w:ascii="仿宋_GB2312" w:hAnsi="仿宋_GB2312" w:cs="仿宋_GB2312"/>
          <w:sz w:val="28"/>
          <w:szCs w:val="28"/>
          <w:lang w:eastAsia="zh-CN"/>
        </w:rPr>
        <w:t>产发集团退出约定需按照《保定市政府投资基金管理暂行办法》（保政规〔2024〕6号）相关规定执行。</w:t>
      </w:r>
    </w:p>
    <w:p w14:paraId="2FA6A4CB">
      <w:pPr>
        <w:pStyle w:val="17"/>
        <w:numPr>
          <w:ilvl w:val="0"/>
          <w:numId w:val="4"/>
        </w:numPr>
        <w:spacing w:line="600" w:lineRule="exact"/>
        <w:ind w:left="0" w:leftChars="0" w:firstLine="420" w:firstLineChars="0"/>
        <w:jc w:val="both"/>
        <w:outlineLvl w:val="1"/>
        <w:rPr>
          <w:rFonts w:hint="eastAsia" w:ascii="楷体" w:hAnsi="楷体" w:eastAsia="楷体" w:cs="楷体"/>
          <w:sz w:val="28"/>
          <w:szCs w:val="28"/>
        </w:rPr>
      </w:pPr>
      <w:bookmarkStart w:id="85" w:name="_Toc152318139"/>
      <w:bookmarkStart w:id="86" w:name="_Toc148"/>
      <w:r>
        <w:rPr>
          <w:rFonts w:hint="eastAsia" w:ascii="楷体" w:hAnsi="楷体" w:eastAsia="楷体" w:cs="楷体"/>
          <w:sz w:val="28"/>
          <w:szCs w:val="28"/>
        </w:rPr>
        <w:t>关键人条款</w:t>
      </w:r>
      <w:bookmarkEnd w:id="85"/>
      <w:bookmarkEnd w:id="86"/>
    </w:p>
    <w:p w14:paraId="2AA2E99A">
      <w:pPr>
        <w:pStyle w:val="2"/>
        <w:spacing w:line="600" w:lineRule="exact"/>
        <w:ind w:left="0" w:leftChars="0" w:firstLine="560" w:firstLineChars="200"/>
        <w:rPr>
          <w:rFonts w:hint="eastAsia" w:ascii="仿宋_GB2312" w:hAnsi="仿宋_GB2312" w:eastAsia="仿宋_GB2312" w:cs="仿宋_GB2312"/>
          <w:kern w:val="2"/>
          <w:sz w:val="28"/>
          <w:szCs w:val="28"/>
          <w:lang w:val="en-US" w:eastAsia="zh-CN" w:bidi="ar-SA"/>
        </w:rPr>
      </w:pPr>
      <w:r>
        <w:rPr>
          <w:rFonts w:hint="eastAsia" w:ascii="Times New Roman" w:hAnsi="Times New Roman" w:eastAsia="仿宋_GB2312" w:cs="Times New Roman"/>
          <w:color w:val="FF0000"/>
          <w:sz w:val="28"/>
          <w:szCs w:val="28"/>
          <w:u w:val="single"/>
        </w:rPr>
        <w:t>xxx（管理机构）</w:t>
      </w:r>
      <w:r>
        <w:rPr>
          <w:rFonts w:hint="eastAsia" w:ascii="仿宋_GB2312" w:hAnsi="仿宋_GB2312" w:eastAsia="仿宋_GB2312" w:cs="仿宋_GB2312"/>
          <w:kern w:val="2"/>
          <w:sz w:val="28"/>
          <w:szCs w:val="28"/>
          <w:lang w:val="en-US" w:eastAsia="zh-CN" w:bidi="ar-SA"/>
        </w:rPr>
        <w:t>承诺</w:t>
      </w:r>
      <w:r>
        <w:rPr>
          <w:rFonts w:hint="eastAsia" w:ascii="Times New Roman" w:hAnsi="Times New Roman" w:eastAsia="仿宋_GB2312" w:cs="Times New Roman"/>
          <w:color w:val="FF0000"/>
          <w:sz w:val="28"/>
          <w:szCs w:val="28"/>
          <w:u w:val="single"/>
        </w:rPr>
        <w:t>xxx基金（暂定名）</w:t>
      </w:r>
      <w:r>
        <w:rPr>
          <w:rFonts w:hint="eastAsia" w:ascii="仿宋_GB2312" w:hAnsi="仿宋_GB2312" w:eastAsia="仿宋_GB2312" w:cs="仿宋_GB2312"/>
          <w:kern w:val="2"/>
          <w:sz w:val="28"/>
          <w:szCs w:val="28"/>
          <w:lang w:val="en-US" w:eastAsia="zh-CN" w:bidi="ar-SA"/>
        </w:rPr>
        <w:t>关键人</w:t>
      </w:r>
      <w:r>
        <w:rPr>
          <w:rFonts w:hint="eastAsia" w:ascii="仿宋_GB2312" w:hAnsi="仿宋_GB2312" w:eastAsia="仿宋_GB2312" w:cs="仿宋_GB2312"/>
          <w:color w:val="FF0000"/>
          <w:kern w:val="2"/>
          <w:sz w:val="28"/>
          <w:szCs w:val="28"/>
          <w:u w:val="single"/>
          <w:lang w:val="en-US" w:eastAsia="zh-CN" w:bidi="ar-SA"/>
        </w:rPr>
        <w:t xml:space="preserve">  名</w:t>
      </w:r>
      <w:r>
        <w:rPr>
          <w:rFonts w:hint="eastAsia" w:ascii="仿宋_GB2312" w:hAnsi="仿宋_GB2312" w:eastAsia="仿宋_GB2312" w:cs="仿宋_GB2312"/>
          <w:kern w:val="2"/>
          <w:sz w:val="28"/>
          <w:szCs w:val="28"/>
          <w:lang w:val="en-US" w:eastAsia="zh-CN" w:bidi="ar-SA"/>
        </w:rPr>
        <w:t>为【</w:t>
      </w:r>
      <w:r>
        <w:rPr>
          <w:rFonts w:hint="eastAsia" w:ascii="仿宋_GB2312" w:hAnsi="仿宋_GB2312" w:eastAsia="仿宋_GB2312" w:cs="仿宋_GB2312"/>
          <w:kern w:val="2"/>
          <w:sz w:val="28"/>
          <w:szCs w:val="28"/>
          <w:u w:val="single"/>
          <w:lang w:val="en-US" w:eastAsia="zh-CN" w:bidi="ar-SA"/>
        </w:rPr>
        <w:t xml:space="preserve">      </w:t>
      </w:r>
      <w:r>
        <w:rPr>
          <w:rFonts w:hint="eastAsia"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kern w:val="2"/>
          <w:sz w:val="28"/>
          <w:szCs w:val="28"/>
          <w:u w:val="single"/>
          <w:lang w:val="en-US" w:eastAsia="zh-CN" w:bidi="ar-SA"/>
        </w:rPr>
        <w:t xml:space="preserve">      </w:t>
      </w:r>
      <w:r>
        <w:rPr>
          <w:rFonts w:hint="eastAsia" w:ascii="仿宋_GB2312" w:hAnsi="仿宋_GB2312" w:eastAsia="仿宋_GB2312" w:cs="仿宋_GB2312"/>
          <w:kern w:val="2"/>
          <w:sz w:val="28"/>
          <w:szCs w:val="28"/>
          <w:lang w:val="en-US" w:eastAsia="zh-CN" w:bidi="ar-SA"/>
        </w:rPr>
        <w:t>】在本基金存续期内不得离职。若1名关键人离职，拟接任人员需要经合伙人大会审议；若2名及以上关键人同时离职，需召开合伙人大会审议是否更换基金管理人，若基金管理人不进行更换，则拟接任的关键人需经合伙人大会审议。</w:t>
      </w:r>
      <w:r>
        <w:rPr>
          <w:rFonts w:hint="eastAsia" w:ascii="Times New Roman" w:hAnsi="Times New Roman" w:eastAsia="仿宋_GB2312" w:cs="Times New Roman"/>
          <w:color w:val="FF0000"/>
          <w:sz w:val="28"/>
          <w:szCs w:val="28"/>
          <w:u w:val="single"/>
        </w:rPr>
        <w:t>xxx（管理机构）</w:t>
      </w:r>
      <w:r>
        <w:rPr>
          <w:rFonts w:hint="eastAsia" w:ascii="仿宋_GB2312" w:hAnsi="仿宋_GB2312" w:eastAsia="仿宋_GB2312" w:cs="仿宋_GB2312"/>
          <w:kern w:val="2"/>
          <w:sz w:val="28"/>
          <w:szCs w:val="28"/>
          <w:lang w:val="en-US" w:eastAsia="zh-CN" w:bidi="ar-SA"/>
        </w:rPr>
        <w:t>推荐的拟接任人员应为</w:t>
      </w:r>
      <w:r>
        <w:rPr>
          <w:rFonts w:hint="eastAsia" w:ascii="Times New Roman" w:hAnsi="Times New Roman" w:eastAsia="仿宋_GB2312" w:cs="Times New Roman"/>
          <w:color w:val="FF0000"/>
          <w:sz w:val="28"/>
          <w:szCs w:val="28"/>
          <w:u w:val="single"/>
        </w:rPr>
        <w:t>xxx（管理机构）</w:t>
      </w:r>
      <w:r>
        <w:rPr>
          <w:rFonts w:hint="eastAsia" w:ascii="仿宋_GB2312" w:hAnsi="仿宋_GB2312" w:eastAsia="仿宋_GB2312" w:cs="仿宋_GB2312"/>
          <w:kern w:val="2"/>
          <w:sz w:val="28"/>
          <w:szCs w:val="28"/>
          <w:lang w:val="en-US" w:eastAsia="zh-CN" w:bidi="ar-SA"/>
        </w:rPr>
        <w:t>的高级管理人员，符合</w:t>
      </w:r>
      <w:r>
        <w:rPr>
          <w:rFonts w:hint="eastAsia" w:ascii="仿宋_GB2312" w:hAnsi="仿宋_GB2312" w:cs="仿宋_GB2312"/>
          <w:kern w:val="2"/>
          <w:sz w:val="28"/>
          <w:szCs w:val="28"/>
          <w:lang w:val="en-US" w:eastAsia="zh-CN" w:bidi="ar-SA"/>
        </w:rPr>
        <w:t>合伙人</w:t>
      </w:r>
      <w:r>
        <w:rPr>
          <w:rFonts w:hint="eastAsia" w:ascii="仿宋_GB2312" w:hAnsi="仿宋_GB2312" w:eastAsia="仿宋_GB2312" w:cs="仿宋_GB2312"/>
          <w:kern w:val="2"/>
          <w:sz w:val="28"/>
          <w:szCs w:val="28"/>
          <w:lang w:val="en-US" w:eastAsia="zh-CN" w:bidi="ar-SA"/>
        </w:rPr>
        <w:t>对于基金管理团队要求，熟悉基金运作并具备丰富经验。</w:t>
      </w:r>
    </w:p>
    <w:p w14:paraId="1E1D06FA">
      <w:pPr>
        <w:numPr>
          <w:ilvl w:val="0"/>
          <w:numId w:val="1"/>
        </w:numPr>
        <w:overflowPunct w:val="0"/>
        <w:spacing w:line="600" w:lineRule="exact"/>
        <w:outlineLvl w:val="0"/>
        <w:rPr>
          <w:rFonts w:ascii="黑体" w:hAnsi="黑体" w:eastAsia="黑体" w:cs="黑体"/>
          <w:sz w:val="32"/>
          <w:szCs w:val="32"/>
        </w:rPr>
      </w:pPr>
      <w:bookmarkStart w:id="87" w:name="_Toc27194"/>
      <w:bookmarkStart w:id="88" w:name="_Toc15575"/>
      <w:bookmarkStart w:id="89" w:name="_Toc17346"/>
      <w:bookmarkStart w:id="90" w:name="_Toc152318140"/>
      <w:bookmarkStart w:id="91" w:name="_Toc2949"/>
      <w:r>
        <w:rPr>
          <w:rFonts w:hint="eastAsia" w:ascii="黑体" w:hAnsi="黑体" w:eastAsia="黑体" w:cs="黑体"/>
          <w:sz w:val="32"/>
          <w:szCs w:val="32"/>
        </w:rPr>
        <w:t>收益分配与亏损承担</w:t>
      </w:r>
      <w:bookmarkEnd w:id="87"/>
      <w:bookmarkEnd w:id="88"/>
      <w:bookmarkEnd w:id="89"/>
      <w:bookmarkEnd w:id="90"/>
      <w:bookmarkEnd w:id="91"/>
    </w:p>
    <w:p w14:paraId="1FF80ED7">
      <w:pPr>
        <w:pStyle w:val="17"/>
        <w:numPr>
          <w:ilvl w:val="0"/>
          <w:numId w:val="7"/>
        </w:numPr>
        <w:spacing w:line="600" w:lineRule="exact"/>
        <w:ind w:left="0" w:leftChars="0" w:firstLine="420" w:firstLineChars="0"/>
        <w:jc w:val="both"/>
        <w:outlineLvl w:val="1"/>
        <w:rPr>
          <w:rFonts w:hint="eastAsia" w:ascii="楷体" w:hAnsi="楷体" w:eastAsia="楷体" w:cs="楷体"/>
          <w:sz w:val="28"/>
          <w:szCs w:val="28"/>
        </w:rPr>
      </w:pPr>
      <w:bookmarkStart w:id="92" w:name="_Toc25293"/>
      <w:bookmarkStart w:id="93" w:name="_Toc9698"/>
      <w:bookmarkStart w:id="94" w:name="_Toc20500"/>
      <w:bookmarkStart w:id="95" w:name="_Toc152318141"/>
      <w:bookmarkStart w:id="96" w:name="_Toc6055"/>
      <w:r>
        <w:rPr>
          <w:rFonts w:hint="eastAsia" w:ascii="楷体" w:hAnsi="楷体" w:eastAsia="楷体" w:cs="楷体"/>
          <w:sz w:val="28"/>
          <w:szCs w:val="28"/>
        </w:rPr>
        <w:t>收益分配</w:t>
      </w:r>
      <w:bookmarkEnd w:id="92"/>
      <w:bookmarkEnd w:id="93"/>
      <w:bookmarkEnd w:id="94"/>
      <w:bookmarkEnd w:id="95"/>
      <w:bookmarkEnd w:id="96"/>
    </w:p>
    <w:p w14:paraId="11EAEB1C">
      <w:pPr>
        <w:widowControl/>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1.分配原则</w:t>
      </w:r>
    </w:p>
    <w:p w14:paraId="650E2879">
      <w:pPr>
        <w:pStyle w:val="2"/>
        <w:spacing w:line="600" w:lineRule="exact"/>
        <w:ind w:left="0" w:leftChars="0" w:firstLine="640" w:firstLineChars="200"/>
      </w:pPr>
    </w:p>
    <w:p w14:paraId="54A48033">
      <w:pPr>
        <w:overflowPunct w:val="0"/>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2.分配顺序</w:t>
      </w:r>
    </w:p>
    <w:p w14:paraId="139AA84C">
      <w:pPr>
        <w:pStyle w:val="2"/>
        <w:spacing w:line="600" w:lineRule="exact"/>
        <w:ind w:left="0" w:leftChars="0" w:firstLine="640" w:firstLineChars="200"/>
      </w:pPr>
    </w:p>
    <w:p w14:paraId="0016FA1C">
      <w:pPr>
        <w:pStyle w:val="17"/>
        <w:numPr>
          <w:ilvl w:val="0"/>
          <w:numId w:val="7"/>
        </w:numPr>
        <w:spacing w:line="600" w:lineRule="exact"/>
        <w:ind w:left="0" w:leftChars="0" w:firstLine="420" w:firstLineChars="0"/>
        <w:jc w:val="both"/>
        <w:outlineLvl w:val="1"/>
        <w:rPr>
          <w:rFonts w:hint="eastAsia" w:ascii="楷体" w:hAnsi="楷体" w:eastAsia="楷体" w:cs="楷体"/>
          <w:sz w:val="28"/>
          <w:szCs w:val="28"/>
        </w:rPr>
      </w:pPr>
      <w:bookmarkStart w:id="97" w:name="_Toc23645"/>
      <w:bookmarkStart w:id="98" w:name="_Toc29394"/>
      <w:bookmarkStart w:id="99" w:name="_Toc24063"/>
      <w:bookmarkStart w:id="100" w:name="_Toc4862"/>
      <w:bookmarkStart w:id="101" w:name="_Toc152318142"/>
      <w:r>
        <w:rPr>
          <w:rFonts w:hint="eastAsia" w:ascii="楷体" w:hAnsi="楷体" w:eastAsia="楷体" w:cs="楷体"/>
          <w:sz w:val="28"/>
          <w:szCs w:val="28"/>
        </w:rPr>
        <w:t>亏损承担</w:t>
      </w:r>
      <w:bookmarkEnd w:id="97"/>
      <w:bookmarkEnd w:id="98"/>
      <w:bookmarkEnd w:id="99"/>
      <w:bookmarkEnd w:id="100"/>
      <w:bookmarkEnd w:id="101"/>
    </w:p>
    <w:p w14:paraId="4B28D90A">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如因普通合伙人（包括其内部机构、雇员或者其委托、授权的任何其他机构、个人）未能按照合伙协议和《委托管理协议》的约定勤勉尽责地履行其管理职责（包括但不限于故意的不当行为或者重大过失、违反法律法规、部门规章、国家或地方政策性规定、合伙协议约定或明显不作为行为），导致合伙企业亏损，则普通合伙人应承担该等亏损。</w:t>
      </w:r>
    </w:p>
    <w:p w14:paraId="568F56D0">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非因上述原因，如果本合伙企业清算时出现亏损，首先由普通合伙人以其对合伙企业的认缴出资额承担亏损，超出普通合伙人认缴出资额部分的亏损由其他有限合伙人以其对合伙企业的实缴出资额按比例承担。超出合伙企业认缴出资总额部分由普通合伙人承担无限连带责任。</w:t>
      </w:r>
    </w:p>
    <w:p w14:paraId="689A99A3">
      <w:pPr>
        <w:numPr>
          <w:ilvl w:val="0"/>
          <w:numId w:val="1"/>
        </w:numPr>
        <w:overflowPunct w:val="0"/>
        <w:spacing w:line="500" w:lineRule="exact"/>
        <w:outlineLvl w:val="0"/>
        <w:rPr>
          <w:rFonts w:ascii="黑体" w:hAnsi="黑体" w:eastAsia="黑体" w:cs="黑体"/>
          <w:sz w:val="32"/>
          <w:szCs w:val="32"/>
        </w:rPr>
      </w:pPr>
      <w:bookmarkStart w:id="102" w:name="_Toc17149"/>
      <w:bookmarkStart w:id="103" w:name="_Toc14941"/>
      <w:bookmarkStart w:id="104" w:name="_Toc152318143"/>
      <w:bookmarkStart w:id="105" w:name="_Toc12922"/>
      <w:r>
        <w:rPr>
          <w:rFonts w:hint="eastAsia" w:ascii="黑体" w:hAnsi="黑体" w:eastAsia="黑体" w:cs="黑体"/>
          <w:sz w:val="32"/>
          <w:szCs w:val="32"/>
        </w:rPr>
        <w:t>让利</w:t>
      </w:r>
      <w:bookmarkEnd w:id="102"/>
      <w:bookmarkEnd w:id="103"/>
      <w:bookmarkEnd w:id="104"/>
      <w:bookmarkEnd w:id="105"/>
    </w:p>
    <w:p w14:paraId="32B5CF1D">
      <w:pPr>
        <w:spacing w:line="5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依据《河北省科技投资引导基金管理办法》，河北省科技金融发展促进中心对子基金投资天使期、早中期科技企业取得的收益实施让利，具体细则按照后续出台的相关让利规定执行</w:t>
      </w:r>
      <w:r>
        <w:rPr>
          <w:rFonts w:hint="eastAsia" w:ascii="仿宋_GB2312" w:hAnsi="仿宋_GB2312" w:cs="仿宋_GB2312"/>
          <w:sz w:val="28"/>
          <w:szCs w:val="28"/>
          <w:lang w:eastAsia="zh-CN"/>
        </w:rPr>
        <w:t>，保定市具体让利实施参照省级规定执行</w:t>
      </w:r>
      <w:r>
        <w:rPr>
          <w:rFonts w:hint="eastAsia" w:ascii="仿宋_GB2312" w:hAnsi="仿宋_GB2312" w:eastAsia="仿宋_GB2312" w:cs="仿宋_GB2312"/>
          <w:sz w:val="28"/>
          <w:szCs w:val="28"/>
        </w:rPr>
        <w:t>。</w:t>
      </w:r>
      <w:bookmarkStart w:id="111" w:name="_GoBack"/>
      <w:bookmarkEnd w:id="111"/>
    </w:p>
    <w:p w14:paraId="18EA1F2C">
      <w:pPr>
        <w:numPr>
          <w:ilvl w:val="0"/>
          <w:numId w:val="1"/>
        </w:numPr>
        <w:overflowPunct w:val="0"/>
        <w:spacing w:line="500" w:lineRule="exact"/>
        <w:outlineLvl w:val="0"/>
        <w:rPr>
          <w:rFonts w:ascii="黑体" w:hAnsi="黑体" w:eastAsia="黑体" w:cs="黑体"/>
          <w:sz w:val="32"/>
          <w:szCs w:val="32"/>
        </w:rPr>
      </w:pPr>
      <w:bookmarkStart w:id="106" w:name="_Toc28327"/>
      <w:bookmarkStart w:id="107" w:name="_Toc20231"/>
      <w:bookmarkStart w:id="108" w:name="_Toc152318144"/>
      <w:bookmarkStart w:id="109" w:name="_Toc1580"/>
      <w:r>
        <w:rPr>
          <w:rFonts w:hint="eastAsia" w:ascii="黑体" w:hAnsi="黑体" w:eastAsia="黑体" w:cs="黑体"/>
          <w:sz w:val="32"/>
          <w:szCs w:val="32"/>
        </w:rPr>
        <w:t>储备项目</w:t>
      </w:r>
      <w:bookmarkEnd w:id="106"/>
      <w:bookmarkEnd w:id="107"/>
      <w:bookmarkEnd w:id="108"/>
      <w:bookmarkEnd w:id="109"/>
    </w:p>
    <w:p w14:paraId="366188DB">
      <w:pPr>
        <w:pStyle w:val="2"/>
        <w:spacing w:line="500" w:lineRule="exact"/>
        <w:ind w:left="0" w:leftChars="0" w:firstLine="560" w:firstLineChars="200"/>
        <w:rPr>
          <w:rStyle w:val="20"/>
          <w:rFonts w:hint="eastAsia" w:ascii="仿宋_GB2312" w:hAnsi="仿宋_GB2312" w:eastAsia="仿宋_GB2312" w:cs="仿宋_GB2312"/>
          <w:color w:val="E54C5E" w:themeColor="accent6"/>
          <w:sz w:val="28"/>
          <w:szCs w:val="28"/>
          <w:lang w:val="en-US" w:eastAsia="zh-CN"/>
          <w14:textFill>
            <w14:solidFill>
              <w14:schemeClr w14:val="accent6"/>
            </w14:solidFill>
          </w14:textFill>
        </w:rPr>
      </w:pPr>
      <w:r>
        <w:rPr>
          <w:rStyle w:val="20"/>
          <w:rFonts w:hint="eastAsia" w:ascii="仿宋_GB2312" w:hAnsi="仿宋_GB2312" w:cs="仿宋_GB2312"/>
          <w:color w:val="E54C5E" w:themeColor="accent6"/>
          <w:sz w:val="28"/>
          <w:szCs w:val="28"/>
          <w:u w:val="none"/>
          <w:lang w:eastAsia="zh-CN"/>
          <w14:textFill>
            <w14:solidFill>
              <w14:schemeClr w14:val="accent6"/>
            </w14:solidFill>
          </w14:textFill>
        </w:rPr>
        <w:t>（</w:t>
      </w:r>
      <w:r>
        <w:rPr>
          <w:rStyle w:val="20"/>
          <w:rFonts w:hint="eastAsia" w:ascii="仿宋_GB2312" w:hAnsi="仿宋_GB2312" w:eastAsia="仿宋_GB2312" w:cs="仿宋_GB2312"/>
          <w:color w:val="E54C5E" w:themeColor="accent6"/>
          <w:sz w:val="28"/>
          <w:szCs w:val="28"/>
          <w:lang w:eastAsia="zh-CN"/>
          <w14:textFill>
            <w14:solidFill>
              <w14:schemeClr w14:val="accent6"/>
            </w14:solidFill>
          </w14:textFill>
        </w:rPr>
        <w:t>请按照附件</w:t>
      </w:r>
      <w:r>
        <w:rPr>
          <w:rStyle w:val="20"/>
          <w:rFonts w:hint="eastAsia" w:ascii="仿宋_GB2312" w:hAnsi="仿宋_GB2312" w:eastAsia="仿宋_GB2312" w:cs="仿宋_GB2312"/>
          <w:color w:val="E54C5E" w:themeColor="accent6"/>
          <w:sz w:val="28"/>
          <w:szCs w:val="28"/>
          <w:lang w:val="en-US" w:eastAsia="zh-CN"/>
          <w14:textFill>
            <w14:solidFill>
              <w14:schemeClr w14:val="accent6"/>
            </w14:solidFill>
          </w14:textFill>
        </w:rPr>
        <w:t>2中表格内容填写</w:t>
      </w:r>
      <w:r>
        <w:rPr>
          <w:rStyle w:val="20"/>
          <w:rFonts w:hint="eastAsia" w:ascii="仿宋_GB2312" w:hAnsi="仿宋_GB2312" w:cs="仿宋_GB2312"/>
          <w:color w:val="E54C5E" w:themeColor="accent6"/>
          <w:sz w:val="28"/>
          <w:szCs w:val="28"/>
          <w:u w:val="none"/>
          <w:lang w:val="en-US" w:eastAsia="zh-CN"/>
          <w14:textFill>
            <w14:solidFill>
              <w14:schemeClr w14:val="accent6"/>
            </w14:solidFill>
          </w14:textFill>
        </w:rPr>
        <w:t>）</w:t>
      </w:r>
    </w:p>
    <w:p w14:paraId="0C0A72FF">
      <w:pPr>
        <w:numPr>
          <w:ilvl w:val="0"/>
          <w:numId w:val="1"/>
        </w:numPr>
        <w:overflowPunct w:val="0"/>
        <w:spacing w:line="500" w:lineRule="exact"/>
        <w:outlineLvl w:val="0"/>
        <w:rPr>
          <w:rFonts w:ascii="黑体" w:hAnsi="黑体" w:eastAsia="黑体" w:cs="黑体"/>
          <w:sz w:val="32"/>
          <w:szCs w:val="32"/>
        </w:rPr>
      </w:pPr>
      <w:bookmarkStart w:id="110" w:name="_Toc4250"/>
      <w:r>
        <w:rPr>
          <w:rFonts w:hint="eastAsia" w:ascii="黑体" w:hAnsi="黑体" w:eastAsia="黑体" w:cs="黑体"/>
          <w:sz w:val="32"/>
          <w:szCs w:val="32"/>
        </w:rPr>
        <w:t>基金目标及预期成效</w:t>
      </w:r>
      <w:bookmarkEnd w:id="110"/>
    </w:p>
    <w:p w14:paraId="473A5165">
      <w:pPr>
        <w:spacing w:line="500" w:lineRule="exact"/>
        <w:ind w:firstLine="560"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（简单阐述该基金设立后计划完成目标、对xx市xx产业带来哪些成效）</w:t>
      </w:r>
    </w:p>
    <w:p w14:paraId="3741C9C1">
      <w:pPr>
        <w:pStyle w:val="2"/>
        <w:spacing w:line="500" w:lineRule="exact"/>
        <w:rPr>
          <w:rFonts w:hint="eastAsia" w:eastAsia="仿宋_GB2312"/>
          <w:lang w:eastAsia="zh-CN"/>
        </w:rPr>
      </w:pPr>
      <w:r>
        <w:rPr>
          <w:rFonts w:hint="eastAsia" w:ascii="仿宋_GB2312" w:hAnsi="仿宋_GB2312" w:cs="仿宋_GB2312"/>
          <w:color w:val="FF0000"/>
          <w:sz w:val="28"/>
          <w:szCs w:val="28"/>
          <w:lang w:eastAsia="zh-CN"/>
        </w:rPr>
        <w:t>以上内容以最终签订的《合伙协议》为准。</w:t>
      </w:r>
    </w:p>
    <w:sectPr>
      <w:footerReference r:id="rId6" w:type="defaul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0000000000000000000"/>
    <w:charset w:val="86"/>
    <w:family w:val="script"/>
    <w:pitch w:val="default"/>
    <w:sig w:usb0="00000000" w:usb1="00000000" w:usb2="00000010" w:usb3="00000000" w:csb0="003C004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CB43">
    <w:pPr>
      <w:pStyle w:val="11"/>
    </w:pPr>
  </w:p>
  <w:p w14:paraId="5C4ADC0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58B0B">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96928">
    <w:pPr>
      <w:pStyle w:val="11"/>
    </w:pPr>
    <w:r>
      <mc:AlternateContent>
        <mc:Choice Requires="wps">
          <w:drawing>
            <wp:anchor distT="0" distB="0" distL="114300" distR="114300" simplePos="0" relativeHeight="251659264" behindDoc="0" locked="0" layoutInCell="1" allowOverlap="1">
              <wp:simplePos x="0" y="0"/>
              <wp:positionH relativeFrom="margin">
                <wp:posOffset>2176780</wp:posOffset>
              </wp:positionH>
              <wp:positionV relativeFrom="paragraph">
                <wp:posOffset>-2540</wp:posOffset>
              </wp:positionV>
              <wp:extent cx="1052830" cy="1828800"/>
              <wp:effectExtent l="0" t="0" r="13970" b="10795"/>
              <wp:wrapNone/>
              <wp:docPr id="4" name="文本框 4"/>
              <wp:cNvGraphicFramePr/>
              <a:graphic xmlns:a="http://schemas.openxmlformats.org/drawingml/2006/main">
                <a:graphicData uri="http://schemas.microsoft.com/office/word/2010/wordprocessingShape">
                  <wps:wsp>
                    <wps:cNvSpPr txBox="1"/>
                    <wps:spPr>
                      <a:xfrm>
                        <a:off x="0" y="0"/>
                        <a:ext cx="10529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CD849F">
                          <w:pPr>
                            <w:pStyle w:val="1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12</w:t>
                          </w:r>
                          <w:r>
                            <w:t xml:space="preserve"> 页</w:t>
                          </w:r>
                        </w:p>
                        <w:p w14:paraId="66F81690">
                          <w:pPr>
                            <w:pStyle w:val="11"/>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1.4pt;margin-top:-0.2pt;height:144pt;width:82.9pt;mso-position-horizontal-relative:margin;z-index:251659264;mso-width-relative:page;mso-height-relative:page;" filled="f" stroked="f" coordsize="21600,21600" o:gfxdata="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Cq29gAAAAJAQAADwAAAAAAAAABACAAAAAiAAAAZHJzL2Rvd25yZXYu&#10;eG1sUEsBAhQAFAAAAAgAh07iQE1McU40AgAAVwQAAA4AAAAAAAAAAQAgAAAAJwEAAGRycy9lMm9E&#10;b2MueG1sUEsFBgAAAAAGAAYAWQEAAM0FAAAAAA==&#10;">
              <v:fill on="f" focussize="0,0"/>
              <v:stroke on="f" weight="0.5pt"/>
              <v:imagedata o:title=""/>
              <o:lock v:ext="edit" aspectratio="f"/>
              <v:textbox inset="0mm,0mm,0mm,0mm" style="mso-fit-shape-to-text:t;">
                <w:txbxContent>
                  <w:p w14:paraId="48CD849F">
                    <w:pPr>
                      <w:pStyle w:val="11"/>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12</w:t>
                    </w:r>
                    <w:r>
                      <w:t xml:space="preserve"> 页</w:t>
                    </w:r>
                  </w:p>
                  <w:p w14:paraId="66F81690">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2FDA4">
    <w:pPr>
      <w:pStyle w:val="12"/>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28864"/>
    <w:multiLevelType w:val="singleLevel"/>
    <w:tmpl w:val="82E28864"/>
    <w:lvl w:ilvl="0" w:tentative="0">
      <w:start w:val="1"/>
      <w:numFmt w:val="chineseCounting"/>
      <w:suff w:val="nothing"/>
      <w:lvlText w:val="（%1）"/>
      <w:lvlJc w:val="left"/>
      <w:pPr>
        <w:ind w:left="0" w:firstLine="420"/>
      </w:pPr>
      <w:rPr>
        <w:rFonts w:hint="eastAsia"/>
      </w:rPr>
    </w:lvl>
  </w:abstractNum>
  <w:abstractNum w:abstractNumId="1">
    <w:nsid w:val="895B97BC"/>
    <w:multiLevelType w:val="singleLevel"/>
    <w:tmpl w:val="895B97BC"/>
    <w:lvl w:ilvl="0" w:tentative="0">
      <w:start w:val="1"/>
      <w:numFmt w:val="chineseCounting"/>
      <w:suff w:val="nothing"/>
      <w:lvlText w:val="（%1）"/>
      <w:lvlJc w:val="left"/>
      <w:pPr>
        <w:ind w:left="0" w:firstLine="420"/>
      </w:pPr>
      <w:rPr>
        <w:rFonts w:hint="eastAsia"/>
      </w:rPr>
    </w:lvl>
  </w:abstractNum>
  <w:abstractNum w:abstractNumId="2">
    <w:nsid w:val="A0A309E6"/>
    <w:multiLevelType w:val="singleLevel"/>
    <w:tmpl w:val="A0A309E6"/>
    <w:lvl w:ilvl="0" w:tentative="0">
      <w:start w:val="1"/>
      <w:numFmt w:val="chineseCounting"/>
      <w:suff w:val="nothing"/>
      <w:lvlText w:val="（%1）"/>
      <w:lvlJc w:val="left"/>
      <w:pPr>
        <w:ind w:left="0" w:firstLine="420"/>
      </w:pPr>
      <w:rPr>
        <w:rFonts w:hint="eastAsia"/>
      </w:rPr>
    </w:lvl>
  </w:abstractNum>
  <w:abstractNum w:abstractNumId="3">
    <w:nsid w:val="D2D42853"/>
    <w:multiLevelType w:val="singleLevel"/>
    <w:tmpl w:val="D2D42853"/>
    <w:lvl w:ilvl="0" w:tentative="0">
      <w:start w:val="7"/>
      <w:numFmt w:val="decimal"/>
      <w:suff w:val="nothing"/>
      <w:lvlText w:val="（%1）"/>
      <w:lvlJc w:val="left"/>
    </w:lvl>
  </w:abstractNum>
  <w:abstractNum w:abstractNumId="4">
    <w:nsid w:val="2871BAB8"/>
    <w:multiLevelType w:val="singleLevel"/>
    <w:tmpl w:val="2871BAB8"/>
    <w:lvl w:ilvl="0" w:tentative="0">
      <w:start w:val="1"/>
      <w:numFmt w:val="decimal"/>
      <w:suff w:val="nothing"/>
      <w:lvlText w:val="（%1）"/>
      <w:lvlJc w:val="left"/>
    </w:lvl>
  </w:abstractNum>
  <w:abstractNum w:abstractNumId="5">
    <w:nsid w:val="2C8DC3C8"/>
    <w:multiLevelType w:val="singleLevel"/>
    <w:tmpl w:val="2C8DC3C8"/>
    <w:lvl w:ilvl="0" w:tentative="0">
      <w:start w:val="1"/>
      <w:numFmt w:val="chineseCounting"/>
      <w:suff w:val="nothing"/>
      <w:lvlText w:val="（%1）"/>
      <w:lvlJc w:val="left"/>
      <w:pPr>
        <w:ind w:left="0" w:firstLine="420"/>
      </w:pPr>
      <w:rPr>
        <w:rFonts w:hint="eastAsia"/>
      </w:rPr>
    </w:lvl>
  </w:abstractNum>
  <w:abstractNum w:abstractNumId="6">
    <w:nsid w:val="7520BAA9"/>
    <w:multiLevelType w:val="singleLevel"/>
    <w:tmpl w:val="7520BAA9"/>
    <w:lvl w:ilvl="0" w:tentative="0">
      <w:start w:val="1"/>
      <w:numFmt w:val="chineseCounting"/>
      <w:suff w:val="nothing"/>
      <w:lvlText w:val="%1、"/>
      <w:lvlJc w:val="left"/>
      <w:pPr>
        <w:ind w:left="0" w:firstLine="420"/>
      </w:pPr>
      <w:rPr>
        <w:rFonts w:hint="eastAsia"/>
      </w:rPr>
    </w:lvl>
  </w:abstractNum>
  <w:num w:numId="1">
    <w:abstractNumId w:val="6"/>
  </w:num>
  <w:num w:numId="2">
    <w:abstractNumId w:val="5"/>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hideGrammaticalError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2NGJlZjNmM2QzYjY5ZjhmMDU0MmRlMjk1NzMzYTUifQ=="/>
  </w:docVars>
  <w:rsids>
    <w:rsidRoot w:val="40BF0786"/>
    <w:rsid w:val="00022102"/>
    <w:rsid w:val="00034E30"/>
    <w:rsid w:val="00043AA7"/>
    <w:rsid w:val="000615B1"/>
    <w:rsid w:val="00061603"/>
    <w:rsid w:val="0007163A"/>
    <w:rsid w:val="000C6EE2"/>
    <w:rsid w:val="000D0C13"/>
    <w:rsid w:val="000F7D78"/>
    <w:rsid w:val="00105DEB"/>
    <w:rsid w:val="00116977"/>
    <w:rsid w:val="001223AB"/>
    <w:rsid w:val="00125DDA"/>
    <w:rsid w:val="00157E93"/>
    <w:rsid w:val="001669DB"/>
    <w:rsid w:val="00174309"/>
    <w:rsid w:val="00177428"/>
    <w:rsid w:val="0018210E"/>
    <w:rsid w:val="00185231"/>
    <w:rsid w:val="001934E3"/>
    <w:rsid w:val="00197BE2"/>
    <w:rsid w:val="001A383C"/>
    <w:rsid w:val="001B223C"/>
    <w:rsid w:val="001B7FF7"/>
    <w:rsid w:val="001C1C6A"/>
    <w:rsid w:val="001C1F5A"/>
    <w:rsid w:val="001C65C7"/>
    <w:rsid w:val="001E48C0"/>
    <w:rsid w:val="001F3A38"/>
    <w:rsid w:val="0023757F"/>
    <w:rsid w:val="00311A5F"/>
    <w:rsid w:val="00356CAF"/>
    <w:rsid w:val="00361E0B"/>
    <w:rsid w:val="0036566D"/>
    <w:rsid w:val="00373E83"/>
    <w:rsid w:val="00377916"/>
    <w:rsid w:val="00383FEF"/>
    <w:rsid w:val="003902B3"/>
    <w:rsid w:val="00391376"/>
    <w:rsid w:val="003B748C"/>
    <w:rsid w:val="003E2336"/>
    <w:rsid w:val="003F1E61"/>
    <w:rsid w:val="00407BDB"/>
    <w:rsid w:val="00426F21"/>
    <w:rsid w:val="00472B62"/>
    <w:rsid w:val="004915F1"/>
    <w:rsid w:val="00496642"/>
    <w:rsid w:val="004D6506"/>
    <w:rsid w:val="0053270A"/>
    <w:rsid w:val="005708C1"/>
    <w:rsid w:val="005C4C08"/>
    <w:rsid w:val="005D2E7E"/>
    <w:rsid w:val="005D38B7"/>
    <w:rsid w:val="005E5E85"/>
    <w:rsid w:val="006116EA"/>
    <w:rsid w:val="006226DD"/>
    <w:rsid w:val="00623412"/>
    <w:rsid w:val="00645991"/>
    <w:rsid w:val="00661A65"/>
    <w:rsid w:val="00671E1A"/>
    <w:rsid w:val="006822F1"/>
    <w:rsid w:val="006852A2"/>
    <w:rsid w:val="0069461F"/>
    <w:rsid w:val="006B49F6"/>
    <w:rsid w:val="006E4A62"/>
    <w:rsid w:val="00724806"/>
    <w:rsid w:val="007324FA"/>
    <w:rsid w:val="007453A1"/>
    <w:rsid w:val="00761E95"/>
    <w:rsid w:val="00793D76"/>
    <w:rsid w:val="007A76F2"/>
    <w:rsid w:val="007B16E5"/>
    <w:rsid w:val="007B5EC2"/>
    <w:rsid w:val="00812C99"/>
    <w:rsid w:val="00831B31"/>
    <w:rsid w:val="008322BB"/>
    <w:rsid w:val="00834204"/>
    <w:rsid w:val="0083677F"/>
    <w:rsid w:val="0084486F"/>
    <w:rsid w:val="008631FE"/>
    <w:rsid w:val="0087467D"/>
    <w:rsid w:val="00877F91"/>
    <w:rsid w:val="00880AED"/>
    <w:rsid w:val="0088182B"/>
    <w:rsid w:val="008850A7"/>
    <w:rsid w:val="008975C6"/>
    <w:rsid w:val="008A54CD"/>
    <w:rsid w:val="008B0D32"/>
    <w:rsid w:val="008C2D61"/>
    <w:rsid w:val="008E2016"/>
    <w:rsid w:val="0097150F"/>
    <w:rsid w:val="00977865"/>
    <w:rsid w:val="00992CEE"/>
    <w:rsid w:val="009931C5"/>
    <w:rsid w:val="009A1866"/>
    <w:rsid w:val="009B061D"/>
    <w:rsid w:val="009D6B2B"/>
    <w:rsid w:val="009F5D55"/>
    <w:rsid w:val="009F6B86"/>
    <w:rsid w:val="00A20012"/>
    <w:rsid w:val="00A20364"/>
    <w:rsid w:val="00A30D0E"/>
    <w:rsid w:val="00A46CB2"/>
    <w:rsid w:val="00A64155"/>
    <w:rsid w:val="00A664FF"/>
    <w:rsid w:val="00A826D4"/>
    <w:rsid w:val="00A94D56"/>
    <w:rsid w:val="00AA6523"/>
    <w:rsid w:val="00AB7A64"/>
    <w:rsid w:val="00AC21FA"/>
    <w:rsid w:val="00B26E46"/>
    <w:rsid w:val="00B3730C"/>
    <w:rsid w:val="00B42773"/>
    <w:rsid w:val="00B54BD0"/>
    <w:rsid w:val="00B6648A"/>
    <w:rsid w:val="00B87A70"/>
    <w:rsid w:val="00BD14ED"/>
    <w:rsid w:val="00BD7CF7"/>
    <w:rsid w:val="00BF5D75"/>
    <w:rsid w:val="00BF6772"/>
    <w:rsid w:val="00C146BD"/>
    <w:rsid w:val="00C23D18"/>
    <w:rsid w:val="00C257F3"/>
    <w:rsid w:val="00C32201"/>
    <w:rsid w:val="00C359E2"/>
    <w:rsid w:val="00C57EDC"/>
    <w:rsid w:val="00C95547"/>
    <w:rsid w:val="00C97EB9"/>
    <w:rsid w:val="00CA5DDB"/>
    <w:rsid w:val="00CF6D8D"/>
    <w:rsid w:val="00D029FC"/>
    <w:rsid w:val="00D14955"/>
    <w:rsid w:val="00D241F0"/>
    <w:rsid w:val="00D53736"/>
    <w:rsid w:val="00DA510A"/>
    <w:rsid w:val="00DC26D5"/>
    <w:rsid w:val="00DF6EC1"/>
    <w:rsid w:val="00E05FF1"/>
    <w:rsid w:val="00E2238B"/>
    <w:rsid w:val="00E3341F"/>
    <w:rsid w:val="00E40BE3"/>
    <w:rsid w:val="00E72308"/>
    <w:rsid w:val="00EE0273"/>
    <w:rsid w:val="00EE25E3"/>
    <w:rsid w:val="00EF54C9"/>
    <w:rsid w:val="00F02A0F"/>
    <w:rsid w:val="00F06F89"/>
    <w:rsid w:val="00F341D4"/>
    <w:rsid w:val="00F40C82"/>
    <w:rsid w:val="00F4169D"/>
    <w:rsid w:val="00F53D25"/>
    <w:rsid w:val="00F70CCC"/>
    <w:rsid w:val="00F9116B"/>
    <w:rsid w:val="00F957F2"/>
    <w:rsid w:val="00FA70E6"/>
    <w:rsid w:val="00FE2051"/>
    <w:rsid w:val="00FE4577"/>
    <w:rsid w:val="01050F22"/>
    <w:rsid w:val="01547A23"/>
    <w:rsid w:val="016546C3"/>
    <w:rsid w:val="017B5688"/>
    <w:rsid w:val="01822573"/>
    <w:rsid w:val="018D0F17"/>
    <w:rsid w:val="01E07299"/>
    <w:rsid w:val="01ED4390"/>
    <w:rsid w:val="020A30BF"/>
    <w:rsid w:val="020C62E0"/>
    <w:rsid w:val="021776FC"/>
    <w:rsid w:val="02203B3A"/>
    <w:rsid w:val="026E7EDE"/>
    <w:rsid w:val="02886D27"/>
    <w:rsid w:val="02A0091B"/>
    <w:rsid w:val="02A10F6B"/>
    <w:rsid w:val="02A824AD"/>
    <w:rsid w:val="02F957C0"/>
    <w:rsid w:val="035830E5"/>
    <w:rsid w:val="035C692A"/>
    <w:rsid w:val="035E700F"/>
    <w:rsid w:val="036D2DAF"/>
    <w:rsid w:val="03C03826"/>
    <w:rsid w:val="03D66BA6"/>
    <w:rsid w:val="03DF47E4"/>
    <w:rsid w:val="03EE1054"/>
    <w:rsid w:val="0424007E"/>
    <w:rsid w:val="042C0EBC"/>
    <w:rsid w:val="0466417F"/>
    <w:rsid w:val="04934B1B"/>
    <w:rsid w:val="04AB0032"/>
    <w:rsid w:val="050B391D"/>
    <w:rsid w:val="05154177"/>
    <w:rsid w:val="053306D8"/>
    <w:rsid w:val="053718C6"/>
    <w:rsid w:val="054F4E62"/>
    <w:rsid w:val="0563090D"/>
    <w:rsid w:val="056A63E5"/>
    <w:rsid w:val="05812B41"/>
    <w:rsid w:val="05AE1B43"/>
    <w:rsid w:val="05C663A6"/>
    <w:rsid w:val="05CD3FD8"/>
    <w:rsid w:val="05F9301F"/>
    <w:rsid w:val="061C715B"/>
    <w:rsid w:val="06303C6B"/>
    <w:rsid w:val="06524101"/>
    <w:rsid w:val="06A61959"/>
    <w:rsid w:val="06B3208A"/>
    <w:rsid w:val="06E94E42"/>
    <w:rsid w:val="0768045D"/>
    <w:rsid w:val="078B7CA7"/>
    <w:rsid w:val="07C82CA9"/>
    <w:rsid w:val="07D258D6"/>
    <w:rsid w:val="07E51AAD"/>
    <w:rsid w:val="083D5445"/>
    <w:rsid w:val="08701D7A"/>
    <w:rsid w:val="08923D7E"/>
    <w:rsid w:val="093C56FD"/>
    <w:rsid w:val="094E5430"/>
    <w:rsid w:val="09527E0B"/>
    <w:rsid w:val="097F55EA"/>
    <w:rsid w:val="09B41737"/>
    <w:rsid w:val="09C000DC"/>
    <w:rsid w:val="09FC6C3A"/>
    <w:rsid w:val="0A2C39C3"/>
    <w:rsid w:val="0A8D3D36"/>
    <w:rsid w:val="0B1C5563"/>
    <w:rsid w:val="0B7C44D7"/>
    <w:rsid w:val="0B896BF3"/>
    <w:rsid w:val="0B9C06D5"/>
    <w:rsid w:val="0BB50901"/>
    <w:rsid w:val="0BBA0B5B"/>
    <w:rsid w:val="0BF77BC4"/>
    <w:rsid w:val="0C1110C3"/>
    <w:rsid w:val="0C1F7B9B"/>
    <w:rsid w:val="0C22495F"/>
    <w:rsid w:val="0C346B5F"/>
    <w:rsid w:val="0C654F6B"/>
    <w:rsid w:val="0C7D22B4"/>
    <w:rsid w:val="0CB90E13"/>
    <w:rsid w:val="0CC579F0"/>
    <w:rsid w:val="0CC64EA8"/>
    <w:rsid w:val="0D0504FC"/>
    <w:rsid w:val="0D054058"/>
    <w:rsid w:val="0D0E115E"/>
    <w:rsid w:val="0D917E5B"/>
    <w:rsid w:val="0DB8556E"/>
    <w:rsid w:val="0E236E8B"/>
    <w:rsid w:val="0E6104B4"/>
    <w:rsid w:val="0E6354DA"/>
    <w:rsid w:val="0E767FF6"/>
    <w:rsid w:val="0EAF071F"/>
    <w:rsid w:val="0ED74F4B"/>
    <w:rsid w:val="0ED939EE"/>
    <w:rsid w:val="0F20773B"/>
    <w:rsid w:val="0F3E035A"/>
    <w:rsid w:val="0F5E22DB"/>
    <w:rsid w:val="0F9811B3"/>
    <w:rsid w:val="0FBA737B"/>
    <w:rsid w:val="0FCE72CB"/>
    <w:rsid w:val="0FDE750E"/>
    <w:rsid w:val="0FF94348"/>
    <w:rsid w:val="101858CC"/>
    <w:rsid w:val="10321608"/>
    <w:rsid w:val="106B68C8"/>
    <w:rsid w:val="10D86084"/>
    <w:rsid w:val="10F36FE9"/>
    <w:rsid w:val="10FF4C0C"/>
    <w:rsid w:val="110C3C07"/>
    <w:rsid w:val="111331E7"/>
    <w:rsid w:val="111A47C1"/>
    <w:rsid w:val="11253C62"/>
    <w:rsid w:val="1131366D"/>
    <w:rsid w:val="11345657"/>
    <w:rsid w:val="11366ED6"/>
    <w:rsid w:val="113C73B8"/>
    <w:rsid w:val="11496C09"/>
    <w:rsid w:val="118063A3"/>
    <w:rsid w:val="11830C53"/>
    <w:rsid w:val="118A5224"/>
    <w:rsid w:val="11A6405B"/>
    <w:rsid w:val="11BF37BC"/>
    <w:rsid w:val="11D06444"/>
    <w:rsid w:val="12262F74"/>
    <w:rsid w:val="1254215C"/>
    <w:rsid w:val="12843C71"/>
    <w:rsid w:val="12AA1929"/>
    <w:rsid w:val="13433B2C"/>
    <w:rsid w:val="13477178"/>
    <w:rsid w:val="138C102F"/>
    <w:rsid w:val="13B32E5D"/>
    <w:rsid w:val="13EE3A98"/>
    <w:rsid w:val="142E658A"/>
    <w:rsid w:val="143376FC"/>
    <w:rsid w:val="14830684"/>
    <w:rsid w:val="14B46A8F"/>
    <w:rsid w:val="14CA0061"/>
    <w:rsid w:val="14CF0696"/>
    <w:rsid w:val="14D64C58"/>
    <w:rsid w:val="14E46C49"/>
    <w:rsid w:val="153B2D0D"/>
    <w:rsid w:val="154F67B8"/>
    <w:rsid w:val="15C40F54"/>
    <w:rsid w:val="15E213DA"/>
    <w:rsid w:val="16315EBE"/>
    <w:rsid w:val="16330C22"/>
    <w:rsid w:val="166E0EC0"/>
    <w:rsid w:val="16BC5A28"/>
    <w:rsid w:val="16EF6FEC"/>
    <w:rsid w:val="171B1048"/>
    <w:rsid w:val="1728196A"/>
    <w:rsid w:val="173C55E5"/>
    <w:rsid w:val="178537E6"/>
    <w:rsid w:val="17DE3E23"/>
    <w:rsid w:val="17E51656"/>
    <w:rsid w:val="18090EA0"/>
    <w:rsid w:val="18C9062F"/>
    <w:rsid w:val="18D55226"/>
    <w:rsid w:val="190B50EC"/>
    <w:rsid w:val="19154EBE"/>
    <w:rsid w:val="193321B6"/>
    <w:rsid w:val="194F4E42"/>
    <w:rsid w:val="198A4263"/>
    <w:rsid w:val="1990398E"/>
    <w:rsid w:val="19BD63E6"/>
    <w:rsid w:val="19C44550"/>
    <w:rsid w:val="19C92FDD"/>
    <w:rsid w:val="1A2E4BEE"/>
    <w:rsid w:val="1AD05CA5"/>
    <w:rsid w:val="1AD302AC"/>
    <w:rsid w:val="1AEF75D5"/>
    <w:rsid w:val="1AFC1190"/>
    <w:rsid w:val="1B1D66B9"/>
    <w:rsid w:val="1B4548E5"/>
    <w:rsid w:val="1B83540D"/>
    <w:rsid w:val="1B9273FE"/>
    <w:rsid w:val="1BBD688C"/>
    <w:rsid w:val="1BED2887"/>
    <w:rsid w:val="1C4C1CA3"/>
    <w:rsid w:val="1CBB2985"/>
    <w:rsid w:val="1CC01D49"/>
    <w:rsid w:val="1CDA72AF"/>
    <w:rsid w:val="1D37200B"/>
    <w:rsid w:val="1D4110DC"/>
    <w:rsid w:val="1D9B6A3E"/>
    <w:rsid w:val="1DD9354C"/>
    <w:rsid w:val="1E0D2B5C"/>
    <w:rsid w:val="1E0F0C19"/>
    <w:rsid w:val="1EC51899"/>
    <w:rsid w:val="1EDF16EC"/>
    <w:rsid w:val="1EF67CA4"/>
    <w:rsid w:val="1F7258CF"/>
    <w:rsid w:val="1FBC7140"/>
    <w:rsid w:val="1FD53D5E"/>
    <w:rsid w:val="1FF8545D"/>
    <w:rsid w:val="201C5BE0"/>
    <w:rsid w:val="205E096F"/>
    <w:rsid w:val="205E1FA5"/>
    <w:rsid w:val="206770AC"/>
    <w:rsid w:val="20857532"/>
    <w:rsid w:val="208F41CB"/>
    <w:rsid w:val="20AA51EA"/>
    <w:rsid w:val="20AC2D10"/>
    <w:rsid w:val="20FC3C98"/>
    <w:rsid w:val="217F21D3"/>
    <w:rsid w:val="218F4664"/>
    <w:rsid w:val="223905D4"/>
    <w:rsid w:val="223E5BEA"/>
    <w:rsid w:val="224F346B"/>
    <w:rsid w:val="225E628C"/>
    <w:rsid w:val="22695F52"/>
    <w:rsid w:val="226B2757"/>
    <w:rsid w:val="227B5090"/>
    <w:rsid w:val="227F1494"/>
    <w:rsid w:val="2288155B"/>
    <w:rsid w:val="22B54D32"/>
    <w:rsid w:val="230B6414"/>
    <w:rsid w:val="23353491"/>
    <w:rsid w:val="233F60BE"/>
    <w:rsid w:val="23B95E70"/>
    <w:rsid w:val="23C02882"/>
    <w:rsid w:val="23C40371"/>
    <w:rsid w:val="23D14ABB"/>
    <w:rsid w:val="23DC2CB8"/>
    <w:rsid w:val="24311EAA"/>
    <w:rsid w:val="24373239"/>
    <w:rsid w:val="24450B30"/>
    <w:rsid w:val="244B2840"/>
    <w:rsid w:val="245C2C9F"/>
    <w:rsid w:val="248A5117"/>
    <w:rsid w:val="24912949"/>
    <w:rsid w:val="249B5F32"/>
    <w:rsid w:val="24AB3451"/>
    <w:rsid w:val="24AD7EBB"/>
    <w:rsid w:val="24E707BB"/>
    <w:rsid w:val="24FC1D66"/>
    <w:rsid w:val="254A2AF8"/>
    <w:rsid w:val="25512AE9"/>
    <w:rsid w:val="257539B1"/>
    <w:rsid w:val="257C6CC3"/>
    <w:rsid w:val="25891872"/>
    <w:rsid w:val="26031625"/>
    <w:rsid w:val="266433DC"/>
    <w:rsid w:val="268A58A2"/>
    <w:rsid w:val="268D0EEE"/>
    <w:rsid w:val="26920BFA"/>
    <w:rsid w:val="26946721"/>
    <w:rsid w:val="26B446CD"/>
    <w:rsid w:val="26CA3EF0"/>
    <w:rsid w:val="275163C0"/>
    <w:rsid w:val="276C31F9"/>
    <w:rsid w:val="276F6846"/>
    <w:rsid w:val="27B801ED"/>
    <w:rsid w:val="27DD40F7"/>
    <w:rsid w:val="27F81FC7"/>
    <w:rsid w:val="28041684"/>
    <w:rsid w:val="28090A48"/>
    <w:rsid w:val="28180C8B"/>
    <w:rsid w:val="283006CB"/>
    <w:rsid w:val="28461C9C"/>
    <w:rsid w:val="288325A9"/>
    <w:rsid w:val="28D472A8"/>
    <w:rsid w:val="290F02E0"/>
    <w:rsid w:val="29121B7F"/>
    <w:rsid w:val="291E22D1"/>
    <w:rsid w:val="29474E1D"/>
    <w:rsid w:val="294F2DD3"/>
    <w:rsid w:val="29556798"/>
    <w:rsid w:val="297C0619"/>
    <w:rsid w:val="298505A2"/>
    <w:rsid w:val="299B6018"/>
    <w:rsid w:val="29EB2AFB"/>
    <w:rsid w:val="29FA2D3E"/>
    <w:rsid w:val="2A1A6F3D"/>
    <w:rsid w:val="2A572B6C"/>
    <w:rsid w:val="2A5D507B"/>
    <w:rsid w:val="2ACA39A0"/>
    <w:rsid w:val="2B717030"/>
    <w:rsid w:val="2B8C47F8"/>
    <w:rsid w:val="2BDB094E"/>
    <w:rsid w:val="2BF625CC"/>
    <w:rsid w:val="2BF63191"/>
    <w:rsid w:val="2C1C3440"/>
    <w:rsid w:val="2C2E03F4"/>
    <w:rsid w:val="2C5B6E8F"/>
    <w:rsid w:val="2C7F752B"/>
    <w:rsid w:val="2CA13945"/>
    <w:rsid w:val="2CB35427"/>
    <w:rsid w:val="2CC80ED2"/>
    <w:rsid w:val="2D1C6008"/>
    <w:rsid w:val="2D30774E"/>
    <w:rsid w:val="2D391B9C"/>
    <w:rsid w:val="2D4D0843"/>
    <w:rsid w:val="2D616C31"/>
    <w:rsid w:val="2D6411B5"/>
    <w:rsid w:val="2D8B516E"/>
    <w:rsid w:val="2D9407D2"/>
    <w:rsid w:val="2DF33D2D"/>
    <w:rsid w:val="2E22364F"/>
    <w:rsid w:val="2E310CF9"/>
    <w:rsid w:val="2E422F06"/>
    <w:rsid w:val="2E56250D"/>
    <w:rsid w:val="2EA94D33"/>
    <w:rsid w:val="2EB45BB2"/>
    <w:rsid w:val="2ED7364E"/>
    <w:rsid w:val="2F0106CB"/>
    <w:rsid w:val="2F261EE0"/>
    <w:rsid w:val="2F594063"/>
    <w:rsid w:val="2F6824F8"/>
    <w:rsid w:val="2F715E63"/>
    <w:rsid w:val="2F7B047E"/>
    <w:rsid w:val="2F917CA1"/>
    <w:rsid w:val="30201025"/>
    <w:rsid w:val="3051435C"/>
    <w:rsid w:val="30711881"/>
    <w:rsid w:val="30717299"/>
    <w:rsid w:val="30E43E01"/>
    <w:rsid w:val="314B20D2"/>
    <w:rsid w:val="315E3BB3"/>
    <w:rsid w:val="31E3230A"/>
    <w:rsid w:val="320A7897"/>
    <w:rsid w:val="321E1594"/>
    <w:rsid w:val="32327209"/>
    <w:rsid w:val="32342B66"/>
    <w:rsid w:val="323C1A25"/>
    <w:rsid w:val="327F2033"/>
    <w:rsid w:val="32911D66"/>
    <w:rsid w:val="32D13864"/>
    <w:rsid w:val="32E66141"/>
    <w:rsid w:val="32F41B39"/>
    <w:rsid w:val="330B38C7"/>
    <w:rsid w:val="330C1C22"/>
    <w:rsid w:val="3369683F"/>
    <w:rsid w:val="338B2C59"/>
    <w:rsid w:val="34012F1B"/>
    <w:rsid w:val="340B3438"/>
    <w:rsid w:val="34473024"/>
    <w:rsid w:val="344B233D"/>
    <w:rsid w:val="34B00BC9"/>
    <w:rsid w:val="34E80F1E"/>
    <w:rsid w:val="350F27C8"/>
    <w:rsid w:val="35675000"/>
    <w:rsid w:val="35BF6BEA"/>
    <w:rsid w:val="35C717DC"/>
    <w:rsid w:val="35E30B2B"/>
    <w:rsid w:val="35F03248"/>
    <w:rsid w:val="360F1920"/>
    <w:rsid w:val="36145188"/>
    <w:rsid w:val="36394BEF"/>
    <w:rsid w:val="36400C61"/>
    <w:rsid w:val="365E28A7"/>
    <w:rsid w:val="36692286"/>
    <w:rsid w:val="369167D9"/>
    <w:rsid w:val="36AD22F2"/>
    <w:rsid w:val="36E0506A"/>
    <w:rsid w:val="36F80606"/>
    <w:rsid w:val="37215DAE"/>
    <w:rsid w:val="37353608"/>
    <w:rsid w:val="37503F9E"/>
    <w:rsid w:val="375872F6"/>
    <w:rsid w:val="3768578B"/>
    <w:rsid w:val="3778561C"/>
    <w:rsid w:val="37C91FA2"/>
    <w:rsid w:val="380134EA"/>
    <w:rsid w:val="38B30E5E"/>
    <w:rsid w:val="38D330D8"/>
    <w:rsid w:val="395F496C"/>
    <w:rsid w:val="398048E2"/>
    <w:rsid w:val="39BF18AF"/>
    <w:rsid w:val="39C62266"/>
    <w:rsid w:val="39D92970"/>
    <w:rsid w:val="39DC3525"/>
    <w:rsid w:val="39F33306"/>
    <w:rsid w:val="3A0D6176"/>
    <w:rsid w:val="3A2B484E"/>
    <w:rsid w:val="3A4512C2"/>
    <w:rsid w:val="3A4B6C9E"/>
    <w:rsid w:val="3A836438"/>
    <w:rsid w:val="3AB900AC"/>
    <w:rsid w:val="3B0A4DAB"/>
    <w:rsid w:val="3B163750"/>
    <w:rsid w:val="3B82522E"/>
    <w:rsid w:val="3B934DA1"/>
    <w:rsid w:val="3BA83C9F"/>
    <w:rsid w:val="3BB84807"/>
    <w:rsid w:val="3BC511A8"/>
    <w:rsid w:val="3BD37D05"/>
    <w:rsid w:val="3BF42DEE"/>
    <w:rsid w:val="3BFC2946"/>
    <w:rsid w:val="3C033CD5"/>
    <w:rsid w:val="3C232710"/>
    <w:rsid w:val="3C3025F0"/>
    <w:rsid w:val="3C375203"/>
    <w:rsid w:val="3C453996"/>
    <w:rsid w:val="3C4C7C5E"/>
    <w:rsid w:val="3C951B88"/>
    <w:rsid w:val="3CDB69FF"/>
    <w:rsid w:val="3CEA6C43"/>
    <w:rsid w:val="3D4D2D2E"/>
    <w:rsid w:val="3DA43295"/>
    <w:rsid w:val="3DAD27FB"/>
    <w:rsid w:val="3DD00D85"/>
    <w:rsid w:val="3DE43692"/>
    <w:rsid w:val="3DF9141C"/>
    <w:rsid w:val="3E405240"/>
    <w:rsid w:val="3E6671C1"/>
    <w:rsid w:val="3EAE5A4E"/>
    <w:rsid w:val="3EC56296"/>
    <w:rsid w:val="3F1461F9"/>
    <w:rsid w:val="3F4A1C1A"/>
    <w:rsid w:val="3F756364"/>
    <w:rsid w:val="3F942E96"/>
    <w:rsid w:val="3FC512A1"/>
    <w:rsid w:val="400022D9"/>
    <w:rsid w:val="404623E2"/>
    <w:rsid w:val="40642DC5"/>
    <w:rsid w:val="40BF0786"/>
    <w:rsid w:val="40CA3013"/>
    <w:rsid w:val="40CD1CB8"/>
    <w:rsid w:val="40F005A0"/>
    <w:rsid w:val="41120B50"/>
    <w:rsid w:val="4114428E"/>
    <w:rsid w:val="412075A7"/>
    <w:rsid w:val="41524DB6"/>
    <w:rsid w:val="41546D80"/>
    <w:rsid w:val="418B6626"/>
    <w:rsid w:val="418D5DEE"/>
    <w:rsid w:val="41A970CC"/>
    <w:rsid w:val="41B71F96"/>
    <w:rsid w:val="41CC4B69"/>
    <w:rsid w:val="41CE08E1"/>
    <w:rsid w:val="41D41C6F"/>
    <w:rsid w:val="41E9571B"/>
    <w:rsid w:val="41EF0857"/>
    <w:rsid w:val="428202D6"/>
    <w:rsid w:val="42BF647C"/>
    <w:rsid w:val="42E63A08"/>
    <w:rsid w:val="432F3601"/>
    <w:rsid w:val="433429C6"/>
    <w:rsid w:val="43482915"/>
    <w:rsid w:val="434A043B"/>
    <w:rsid w:val="43610702"/>
    <w:rsid w:val="43B9736F"/>
    <w:rsid w:val="43BB4894"/>
    <w:rsid w:val="43BF2BD7"/>
    <w:rsid w:val="43FD36FF"/>
    <w:rsid w:val="43FF6362"/>
    <w:rsid w:val="445717D6"/>
    <w:rsid w:val="44670CDB"/>
    <w:rsid w:val="4469669F"/>
    <w:rsid w:val="44A43B7B"/>
    <w:rsid w:val="44DF452E"/>
    <w:rsid w:val="44F12490"/>
    <w:rsid w:val="450D7972"/>
    <w:rsid w:val="452B11F7"/>
    <w:rsid w:val="453942C3"/>
    <w:rsid w:val="45537C0E"/>
    <w:rsid w:val="45BE0C6C"/>
    <w:rsid w:val="4631143E"/>
    <w:rsid w:val="46396545"/>
    <w:rsid w:val="466730B2"/>
    <w:rsid w:val="46843C64"/>
    <w:rsid w:val="4695042E"/>
    <w:rsid w:val="46A7314A"/>
    <w:rsid w:val="46D83FB0"/>
    <w:rsid w:val="46E53C22"/>
    <w:rsid w:val="472F1E22"/>
    <w:rsid w:val="47411B55"/>
    <w:rsid w:val="476B0980"/>
    <w:rsid w:val="47881532"/>
    <w:rsid w:val="47BA6AF0"/>
    <w:rsid w:val="47ED75E7"/>
    <w:rsid w:val="480A0199"/>
    <w:rsid w:val="48223734"/>
    <w:rsid w:val="484336AB"/>
    <w:rsid w:val="489F6B33"/>
    <w:rsid w:val="48CA7928"/>
    <w:rsid w:val="48D44F16"/>
    <w:rsid w:val="48E56510"/>
    <w:rsid w:val="491B2E28"/>
    <w:rsid w:val="492359B6"/>
    <w:rsid w:val="492D1E53"/>
    <w:rsid w:val="493E2DAD"/>
    <w:rsid w:val="49523BA5"/>
    <w:rsid w:val="495642AF"/>
    <w:rsid w:val="49852879"/>
    <w:rsid w:val="498F31E3"/>
    <w:rsid w:val="49CA4084"/>
    <w:rsid w:val="4A7E6C1C"/>
    <w:rsid w:val="4AD36F68"/>
    <w:rsid w:val="4AE90539"/>
    <w:rsid w:val="4B25009D"/>
    <w:rsid w:val="4B6422B6"/>
    <w:rsid w:val="4B810772"/>
    <w:rsid w:val="4BE25C5F"/>
    <w:rsid w:val="4BEE392E"/>
    <w:rsid w:val="4C94187C"/>
    <w:rsid w:val="4C9E35A6"/>
    <w:rsid w:val="4CD6689C"/>
    <w:rsid w:val="4D256A44"/>
    <w:rsid w:val="4D6C7200"/>
    <w:rsid w:val="4D6E0701"/>
    <w:rsid w:val="4D792157"/>
    <w:rsid w:val="4DC40DEA"/>
    <w:rsid w:val="4E3F4E00"/>
    <w:rsid w:val="4E7476A9"/>
    <w:rsid w:val="4EB64034"/>
    <w:rsid w:val="4F021BCA"/>
    <w:rsid w:val="4F534F1F"/>
    <w:rsid w:val="4F77594A"/>
    <w:rsid w:val="4F8B3490"/>
    <w:rsid w:val="4F952A3E"/>
    <w:rsid w:val="4FD277EE"/>
    <w:rsid w:val="502F09BA"/>
    <w:rsid w:val="503404A9"/>
    <w:rsid w:val="503F29AA"/>
    <w:rsid w:val="50483F54"/>
    <w:rsid w:val="5086323F"/>
    <w:rsid w:val="50923421"/>
    <w:rsid w:val="50B00074"/>
    <w:rsid w:val="50D457E8"/>
    <w:rsid w:val="50E60F86"/>
    <w:rsid w:val="50EA6DB9"/>
    <w:rsid w:val="51122FDC"/>
    <w:rsid w:val="511E4CB5"/>
    <w:rsid w:val="511E6A63"/>
    <w:rsid w:val="51475FBA"/>
    <w:rsid w:val="51477D68"/>
    <w:rsid w:val="516721B8"/>
    <w:rsid w:val="51774EB8"/>
    <w:rsid w:val="51CF665D"/>
    <w:rsid w:val="51DC2BA6"/>
    <w:rsid w:val="51DF5F82"/>
    <w:rsid w:val="51FD48CA"/>
    <w:rsid w:val="52000EC3"/>
    <w:rsid w:val="525E180D"/>
    <w:rsid w:val="525F10E1"/>
    <w:rsid w:val="52615420"/>
    <w:rsid w:val="52691F60"/>
    <w:rsid w:val="531D4EA3"/>
    <w:rsid w:val="53513120"/>
    <w:rsid w:val="539A6875"/>
    <w:rsid w:val="53BD2563"/>
    <w:rsid w:val="540053E4"/>
    <w:rsid w:val="540E7263"/>
    <w:rsid w:val="543F0D17"/>
    <w:rsid w:val="544D7D8B"/>
    <w:rsid w:val="547F3CBD"/>
    <w:rsid w:val="54E104D3"/>
    <w:rsid w:val="55004DFD"/>
    <w:rsid w:val="55052414"/>
    <w:rsid w:val="55342CF9"/>
    <w:rsid w:val="555B73CE"/>
    <w:rsid w:val="556709D9"/>
    <w:rsid w:val="55AE6607"/>
    <w:rsid w:val="56206DD9"/>
    <w:rsid w:val="56290384"/>
    <w:rsid w:val="56565AF5"/>
    <w:rsid w:val="566D64C3"/>
    <w:rsid w:val="569578CE"/>
    <w:rsid w:val="56AF6ADB"/>
    <w:rsid w:val="570909F6"/>
    <w:rsid w:val="57614E4A"/>
    <w:rsid w:val="578E4942"/>
    <w:rsid w:val="579E26AC"/>
    <w:rsid w:val="57C87729"/>
    <w:rsid w:val="585B059D"/>
    <w:rsid w:val="590D1897"/>
    <w:rsid w:val="592E02C1"/>
    <w:rsid w:val="593A6404"/>
    <w:rsid w:val="59975066"/>
    <w:rsid w:val="59A10231"/>
    <w:rsid w:val="59B14918"/>
    <w:rsid w:val="59C208D3"/>
    <w:rsid w:val="59E720E8"/>
    <w:rsid w:val="59EF71EF"/>
    <w:rsid w:val="59F9006D"/>
    <w:rsid w:val="5A0013FC"/>
    <w:rsid w:val="5A433726"/>
    <w:rsid w:val="5A52552D"/>
    <w:rsid w:val="5A6516AD"/>
    <w:rsid w:val="5AF34ABD"/>
    <w:rsid w:val="5B0D06DB"/>
    <w:rsid w:val="5B2D4472"/>
    <w:rsid w:val="5B5163B3"/>
    <w:rsid w:val="5B5C6B06"/>
    <w:rsid w:val="5B8D6CBF"/>
    <w:rsid w:val="5BAC183B"/>
    <w:rsid w:val="5C256B10"/>
    <w:rsid w:val="5C3055B1"/>
    <w:rsid w:val="5C3830CF"/>
    <w:rsid w:val="5C3B501E"/>
    <w:rsid w:val="5C4D5567"/>
    <w:rsid w:val="5C526932"/>
    <w:rsid w:val="5D186A5C"/>
    <w:rsid w:val="5D292A17"/>
    <w:rsid w:val="5DDE1A54"/>
    <w:rsid w:val="5E12264E"/>
    <w:rsid w:val="5E722DE9"/>
    <w:rsid w:val="5E850121"/>
    <w:rsid w:val="5EAC3900"/>
    <w:rsid w:val="5ED35331"/>
    <w:rsid w:val="5F465B03"/>
    <w:rsid w:val="5F5076D6"/>
    <w:rsid w:val="5F920D48"/>
    <w:rsid w:val="5FEF619A"/>
    <w:rsid w:val="60602BF4"/>
    <w:rsid w:val="609B59DA"/>
    <w:rsid w:val="60E92BEA"/>
    <w:rsid w:val="61113EEE"/>
    <w:rsid w:val="611E75DC"/>
    <w:rsid w:val="61355E2F"/>
    <w:rsid w:val="617D7737"/>
    <w:rsid w:val="61AB7E9F"/>
    <w:rsid w:val="61C40F61"/>
    <w:rsid w:val="61F45CEA"/>
    <w:rsid w:val="62037CDB"/>
    <w:rsid w:val="6230178C"/>
    <w:rsid w:val="6232236E"/>
    <w:rsid w:val="623C62E9"/>
    <w:rsid w:val="624B3430"/>
    <w:rsid w:val="626F35C2"/>
    <w:rsid w:val="628F77C1"/>
    <w:rsid w:val="62E47B0C"/>
    <w:rsid w:val="62F24C15"/>
    <w:rsid w:val="62FE04A2"/>
    <w:rsid w:val="63041F5D"/>
    <w:rsid w:val="630A6E47"/>
    <w:rsid w:val="63564CD0"/>
    <w:rsid w:val="637606B0"/>
    <w:rsid w:val="63864720"/>
    <w:rsid w:val="63880E4A"/>
    <w:rsid w:val="63A177AC"/>
    <w:rsid w:val="63C17F02"/>
    <w:rsid w:val="63D77671"/>
    <w:rsid w:val="64144421"/>
    <w:rsid w:val="641771C2"/>
    <w:rsid w:val="6454481E"/>
    <w:rsid w:val="647B624F"/>
    <w:rsid w:val="648D1ADE"/>
    <w:rsid w:val="64947310"/>
    <w:rsid w:val="64C23E7D"/>
    <w:rsid w:val="651C60F9"/>
    <w:rsid w:val="6545060B"/>
    <w:rsid w:val="65B37C6A"/>
    <w:rsid w:val="65C21C5B"/>
    <w:rsid w:val="66154481"/>
    <w:rsid w:val="66157FDD"/>
    <w:rsid w:val="66383CCB"/>
    <w:rsid w:val="66882EA5"/>
    <w:rsid w:val="669C24AC"/>
    <w:rsid w:val="66A6332B"/>
    <w:rsid w:val="66AA6977"/>
    <w:rsid w:val="66B946FF"/>
    <w:rsid w:val="66C32B7C"/>
    <w:rsid w:val="66CE32B7"/>
    <w:rsid w:val="66D25ECE"/>
    <w:rsid w:val="6730147A"/>
    <w:rsid w:val="673D5922"/>
    <w:rsid w:val="675D7E8D"/>
    <w:rsid w:val="68010AA0"/>
    <w:rsid w:val="68103152"/>
    <w:rsid w:val="68221BD7"/>
    <w:rsid w:val="684D3A5E"/>
    <w:rsid w:val="68662D72"/>
    <w:rsid w:val="686C0F2F"/>
    <w:rsid w:val="688558EE"/>
    <w:rsid w:val="68C26B6A"/>
    <w:rsid w:val="68C7047F"/>
    <w:rsid w:val="68DA05E7"/>
    <w:rsid w:val="68E87C2B"/>
    <w:rsid w:val="6948095C"/>
    <w:rsid w:val="69562DE6"/>
    <w:rsid w:val="69AB1384"/>
    <w:rsid w:val="69C77840"/>
    <w:rsid w:val="69CE6E20"/>
    <w:rsid w:val="69D62568"/>
    <w:rsid w:val="6A464C09"/>
    <w:rsid w:val="6A4B66C3"/>
    <w:rsid w:val="6A9978E3"/>
    <w:rsid w:val="6AD20B92"/>
    <w:rsid w:val="6B2B3DFF"/>
    <w:rsid w:val="6B3F2938"/>
    <w:rsid w:val="6B4443EF"/>
    <w:rsid w:val="6B7316CA"/>
    <w:rsid w:val="6B7E4876"/>
    <w:rsid w:val="6BA37E39"/>
    <w:rsid w:val="6BF26E92"/>
    <w:rsid w:val="6BF40FDA"/>
    <w:rsid w:val="6C07486C"/>
    <w:rsid w:val="6C88775B"/>
    <w:rsid w:val="6CBE13CE"/>
    <w:rsid w:val="6CD423B1"/>
    <w:rsid w:val="6CD94C10"/>
    <w:rsid w:val="6CFC3824"/>
    <w:rsid w:val="6D08089B"/>
    <w:rsid w:val="6DB90BB2"/>
    <w:rsid w:val="6DB91B96"/>
    <w:rsid w:val="6DC02F24"/>
    <w:rsid w:val="6E0A23F1"/>
    <w:rsid w:val="6E4771A1"/>
    <w:rsid w:val="6EC802E2"/>
    <w:rsid w:val="6ED6132F"/>
    <w:rsid w:val="6ED8429D"/>
    <w:rsid w:val="6EDA0016"/>
    <w:rsid w:val="6F020C37"/>
    <w:rsid w:val="6F045092"/>
    <w:rsid w:val="6F243CB9"/>
    <w:rsid w:val="6F2F210F"/>
    <w:rsid w:val="6F622588"/>
    <w:rsid w:val="6F6D0E8A"/>
    <w:rsid w:val="6F7A41C6"/>
    <w:rsid w:val="6F7C2E7B"/>
    <w:rsid w:val="6F800BBD"/>
    <w:rsid w:val="6FBB1BF5"/>
    <w:rsid w:val="6FFB46E7"/>
    <w:rsid w:val="70221C74"/>
    <w:rsid w:val="703419A7"/>
    <w:rsid w:val="70616C6C"/>
    <w:rsid w:val="706B3893"/>
    <w:rsid w:val="70C1323B"/>
    <w:rsid w:val="70C42D2B"/>
    <w:rsid w:val="70D521B6"/>
    <w:rsid w:val="70ED2282"/>
    <w:rsid w:val="71043FAA"/>
    <w:rsid w:val="713741DD"/>
    <w:rsid w:val="718F14F0"/>
    <w:rsid w:val="71E2790D"/>
    <w:rsid w:val="71ED1E0E"/>
    <w:rsid w:val="71FE25FB"/>
    <w:rsid w:val="72063B57"/>
    <w:rsid w:val="720C498A"/>
    <w:rsid w:val="72262B22"/>
    <w:rsid w:val="72462DCD"/>
    <w:rsid w:val="72B77E8C"/>
    <w:rsid w:val="72BF5872"/>
    <w:rsid w:val="72CA214F"/>
    <w:rsid w:val="72EE408F"/>
    <w:rsid w:val="736D76AA"/>
    <w:rsid w:val="73922C6D"/>
    <w:rsid w:val="73936BA2"/>
    <w:rsid w:val="73AF7CC3"/>
    <w:rsid w:val="73FE47A6"/>
    <w:rsid w:val="740D2766"/>
    <w:rsid w:val="741B7106"/>
    <w:rsid w:val="7423420D"/>
    <w:rsid w:val="74324450"/>
    <w:rsid w:val="745D33AD"/>
    <w:rsid w:val="74827185"/>
    <w:rsid w:val="749E0E9F"/>
    <w:rsid w:val="74AE2004"/>
    <w:rsid w:val="74C20D4B"/>
    <w:rsid w:val="75241FEA"/>
    <w:rsid w:val="75510906"/>
    <w:rsid w:val="75EF084A"/>
    <w:rsid w:val="762D4ECF"/>
    <w:rsid w:val="764A782F"/>
    <w:rsid w:val="767D7C04"/>
    <w:rsid w:val="76FE0619"/>
    <w:rsid w:val="770245AD"/>
    <w:rsid w:val="77366005"/>
    <w:rsid w:val="779D3BB0"/>
    <w:rsid w:val="77AE203F"/>
    <w:rsid w:val="77F4039A"/>
    <w:rsid w:val="781018A9"/>
    <w:rsid w:val="78105789"/>
    <w:rsid w:val="782B18E2"/>
    <w:rsid w:val="78574485"/>
    <w:rsid w:val="78852DA0"/>
    <w:rsid w:val="78970D25"/>
    <w:rsid w:val="78BC253A"/>
    <w:rsid w:val="7944595A"/>
    <w:rsid w:val="79627585"/>
    <w:rsid w:val="79FD24C6"/>
    <w:rsid w:val="7A140880"/>
    <w:rsid w:val="7A1B7E60"/>
    <w:rsid w:val="7A590988"/>
    <w:rsid w:val="7A5944E4"/>
    <w:rsid w:val="7AB636E5"/>
    <w:rsid w:val="7B2268B2"/>
    <w:rsid w:val="7B32263A"/>
    <w:rsid w:val="7B9052B5"/>
    <w:rsid w:val="7BEF390F"/>
    <w:rsid w:val="7BF702EE"/>
    <w:rsid w:val="7C183F2B"/>
    <w:rsid w:val="7C23124E"/>
    <w:rsid w:val="7CB71996"/>
    <w:rsid w:val="7D0C5732"/>
    <w:rsid w:val="7D103F2E"/>
    <w:rsid w:val="7D254B52"/>
    <w:rsid w:val="7D8C697F"/>
    <w:rsid w:val="7DA4016C"/>
    <w:rsid w:val="7DAE2D99"/>
    <w:rsid w:val="7DB14637"/>
    <w:rsid w:val="7DBF6D54"/>
    <w:rsid w:val="7DC5207A"/>
    <w:rsid w:val="7DD54E05"/>
    <w:rsid w:val="7DEE7639"/>
    <w:rsid w:val="7E494870"/>
    <w:rsid w:val="7E5B2D4A"/>
    <w:rsid w:val="7E655B4E"/>
    <w:rsid w:val="7EAA17B2"/>
    <w:rsid w:val="7EC5039A"/>
    <w:rsid w:val="7EDC7492"/>
    <w:rsid w:val="7EF56496"/>
    <w:rsid w:val="7F3D43D5"/>
    <w:rsid w:val="7F69341C"/>
    <w:rsid w:val="7FD1625A"/>
    <w:rsid w:val="7FE27B5E"/>
    <w:rsid w:val="7FFA6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仿宋_GB2312" w:asciiTheme="minorAscii" w:hAnsiTheme="minorAscii" w:cstheme="minorBidi"/>
      <w:kern w:val="2"/>
      <w:sz w:val="32"/>
      <w:szCs w:val="22"/>
      <w:lang w:val="en-US" w:eastAsia="zh-CN" w:bidi="ar-SA"/>
    </w:rPr>
  </w:style>
  <w:style w:type="paragraph" w:styleId="3">
    <w:name w:val="heading 1"/>
    <w:basedOn w:val="1"/>
    <w:next w:val="1"/>
    <w:link w:val="22"/>
    <w:autoRedefine/>
    <w:qFormat/>
    <w:uiPriority w:val="0"/>
    <w:pPr>
      <w:jc w:val="center"/>
      <w:outlineLvl w:val="0"/>
    </w:pPr>
    <w:rPr>
      <w:rFonts w:hint="eastAsia" w:ascii="宋体" w:hAnsi="宋体" w:eastAsia="方正小标宋简体" w:cs="Times New Roman"/>
      <w:bCs/>
      <w:kern w:val="44"/>
      <w:sz w:val="44"/>
      <w:szCs w:val="48"/>
    </w:rPr>
  </w:style>
  <w:style w:type="paragraph" w:styleId="4">
    <w:name w:val="heading 2"/>
    <w:basedOn w:val="1"/>
    <w:next w:val="1"/>
    <w:semiHidden/>
    <w:unhideWhenUsed/>
    <w:qFormat/>
    <w:uiPriority w:val="0"/>
    <w:pPr>
      <w:keepNext/>
      <w:keepLines/>
      <w:spacing w:beforeLines="0" w:beforeAutospacing="0" w:afterLines="0" w:afterAutospacing="0" w:line="600" w:lineRule="exact"/>
      <w:ind w:firstLine="883" w:firstLineChars="200"/>
      <w:outlineLvl w:val="1"/>
    </w:pPr>
    <w:rPr>
      <w:rFonts w:ascii="黑体" w:hAnsi="黑体" w:eastAsia="黑体" w:cs="黑体"/>
      <w:szCs w:val="32"/>
    </w:rPr>
  </w:style>
  <w:style w:type="paragraph" w:styleId="5">
    <w:name w:val="heading 3"/>
    <w:basedOn w:val="1"/>
    <w:next w:val="1"/>
    <w:semiHidden/>
    <w:unhideWhenUsed/>
    <w:qFormat/>
    <w:uiPriority w:val="0"/>
    <w:pPr>
      <w:keepNext/>
      <w:keepLines/>
      <w:spacing w:beforeLines="0" w:beforeAutospacing="0" w:afterLines="0" w:afterAutospacing="0" w:line="600" w:lineRule="exact"/>
      <w:ind w:firstLine="883" w:firstLineChars="200"/>
      <w:outlineLvl w:val="2"/>
    </w:pPr>
    <w:rPr>
      <w:rFonts w:ascii="楷体" w:hAnsi="楷体" w:eastAsia="楷体" w:cs="楷体"/>
      <w:szCs w:val="32"/>
    </w:rPr>
  </w:style>
  <w:style w:type="paragraph" w:styleId="6">
    <w:name w:val="heading 4"/>
    <w:basedOn w:val="1"/>
    <w:next w:val="1"/>
    <w:autoRedefine/>
    <w:semiHidden/>
    <w:unhideWhenUsed/>
    <w:qFormat/>
    <w:uiPriority w:val="0"/>
    <w:pPr>
      <w:keepNext/>
      <w:keepLines/>
      <w:spacing w:before="280" w:beforeLines="0" w:beforeAutospacing="0" w:after="290" w:afterLines="0" w:afterAutospacing="0" w:line="372" w:lineRule="auto"/>
      <w:outlineLvl w:val="3"/>
    </w:pPr>
    <w:rPr>
      <w:rFonts w:ascii="方正仿宋_GB2312" w:hAnsi="方正仿宋_GB2312"/>
      <w:b/>
      <w:bCs/>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autoRedefine/>
    <w:unhideWhenUsed/>
    <w:qFormat/>
    <w:uiPriority w:val="99"/>
    <w:pPr>
      <w:ind w:left="420" w:leftChars="200"/>
    </w:pPr>
  </w:style>
  <w:style w:type="paragraph" w:styleId="7">
    <w:name w:val="annotation text"/>
    <w:basedOn w:val="1"/>
    <w:link w:val="25"/>
    <w:autoRedefine/>
    <w:qFormat/>
    <w:uiPriority w:val="0"/>
    <w:pPr>
      <w:jc w:val="left"/>
    </w:pPr>
  </w:style>
  <w:style w:type="paragraph" w:styleId="8">
    <w:name w:val="Body Text"/>
    <w:basedOn w:val="1"/>
    <w:autoRedefine/>
    <w:unhideWhenUsed/>
    <w:qFormat/>
    <w:uiPriority w:val="99"/>
    <w:rPr>
      <w:rFonts w:ascii="Times New Roman" w:eastAsia="宋体"/>
      <w:szCs w:val="20"/>
    </w:rPr>
  </w:style>
  <w:style w:type="paragraph" w:styleId="9">
    <w:name w:val="Body Text Indent"/>
    <w:basedOn w:val="1"/>
    <w:autoRedefine/>
    <w:qFormat/>
    <w:uiPriority w:val="99"/>
    <w:pPr>
      <w:spacing w:after="120"/>
      <w:ind w:left="420" w:leftChars="200"/>
    </w:pPr>
  </w:style>
  <w:style w:type="paragraph" w:styleId="10">
    <w:name w:val="Balloon Text"/>
    <w:basedOn w:val="1"/>
    <w:link w:val="24"/>
    <w:autoRedefine/>
    <w:qFormat/>
    <w:uiPriority w:val="0"/>
    <w:rPr>
      <w:sz w:val="18"/>
      <w:szCs w:val="18"/>
    </w:rPr>
  </w:style>
  <w:style w:type="paragraph" w:styleId="11">
    <w:name w:val="footer"/>
    <w:basedOn w:val="1"/>
    <w:link w:val="33"/>
    <w:autoRedefine/>
    <w:qFormat/>
    <w:uiPriority w:val="99"/>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unhideWhenUsed/>
    <w:qFormat/>
    <w:uiPriority w:val="39"/>
    <w:pPr>
      <w:tabs>
        <w:tab w:val="right" w:leader="dot" w:pos="8296"/>
      </w:tabs>
      <w:spacing w:line="360" w:lineRule="auto"/>
    </w:pPr>
  </w:style>
  <w:style w:type="paragraph" w:styleId="14">
    <w:name w:val="toc 2"/>
    <w:basedOn w:val="1"/>
    <w:next w:val="1"/>
    <w:autoRedefine/>
    <w:unhideWhenUsed/>
    <w:qFormat/>
    <w:uiPriority w:val="39"/>
    <w:pPr>
      <w:ind w:left="420" w:leftChars="200"/>
    </w:pPr>
  </w:style>
  <w:style w:type="paragraph" w:styleId="1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7"/>
    <w:next w:val="7"/>
    <w:link w:val="26"/>
    <w:qFormat/>
    <w:uiPriority w:val="0"/>
    <w:rPr>
      <w:b/>
      <w:bCs/>
    </w:rPr>
  </w:style>
  <w:style w:type="paragraph" w:styleId="17">
    <w:name w:val="Body Text First Indent 2"/>
    <w:basedOn w:val="9"/>
    <w:autoRedefine/>
    <w:qFormat/>
    <w:uiPriority w:val="99"/>
    <w:pPr>
      <w:widowControl/>
      <w:tabs>
        <w:tab w:val="right" w:leader="middleDot" w:pos="8960"/>
      </w:tabs>
      <w:spacing w:after="0" w:line="580" w:lineRule="exact"/>
      <w:ind w:left="1440" w:leftChars="0" w:firstLine="210" w:firstLineChars="200"/>
      <w:jc w:val="left"/>
    </w:pPr>
    <w:rPr>
      <w:rFonts w:ascii="Verdana" w:hAnsi="Verdana" w:eastAsia="宋体" w:cs="Calibri"/>
      <w:sz w:val="32"/>
      <w:szCs w:val="20"/>
    </w:rPr>
  </w:style>
  <w:style w:type="character" w:styleId="20">
    <w:name w:val="Hyperlink"/>
    <w:basedOn w:val="19"/>
    <w:autoRedefine/>
    <w:unhideWhenUsed/>
    <w:qFormat/>
    <w:uiPriority w:val="99"/>
    <w:rPr>
      <w:color w:val="0026E5" w:themeColor="hyperlink"/>
      <w:u w:val="single"/>
      <w14:textFill>
        <w14:solidFill>
          <w14:schemeClr w14:val="hlink"/>
        </w14:solidFill>
      </w14:textFill>
    </w:rPr>
  </w:style>
  <w:style w:type="character" w:styleId="21">
    <w:name w:val="annotation reference"/>
    <w:basedOn w:val="19"/>
    <w:autoRedefine/>
    <w:qFormat/>
    <w:uiPriority w:val="0"/>
    <w:rPr>
      <w:sz w:val="21"/>
      <w:szCs w:val="21"/>
    </w:rPr>
  </w:style>
  <w:style w:type="character" w:customStyle="1" w:styleId="22">
    <w:name w:val="标题 1 字符"/>
    <w:basedOn w:val="19"/>
    <w:link w:val="3"/>
    <w:autoRedefine/>
    <w:qFormat/>
    <w:uiPriority w:val="0"/>
    <w:rPr>
      <w:rFonts w:ascii="宋体" w:hAnsi="宋体" w:eastAsia="方正小标宋简体"/>
      <w:bCs/>
      <w:kern w:val="44"/>
      <w:sz w:val="44"/>
      <w:szCs w:val="48"/>
    </w:rPr>
  </w:style>
  <w:style w:type="paragraph" w:styleId="23">
    <w:name w:val="List Paragraph"/>
    <w:basedOn w:val="1"/>
    <w:autoRedefine/>
    <w:qFormat/>
    <w:uiPriority w:val="34"/>
    <w:pPr>
      <w:ind w:firstLine="420" w:firstLineChars="200"/>
    </w:pPr>
  </w:style>
  <w:style w:type="character" w:customStyle="1" w:styleId="24">
    <w:name w:val="批注框文本 字符"/>
    <w:basedOn w:val="19"/>
    <w:link w:val="10"/>
    <w:autoRedefine/>
    <w:qFormat/>
    <w:uiPriority w:val="0"/>
    <w:rPr>
      <w:rFonts w:asciiTheme="minorHAnsi" w:hAnsiTheme="minorHAnsi" w:eastAsiaTheme="minorEastAsia" w:cstheme="minorBidi"/>
      <w:kern w:val="2"/>
      <w:sz w:val="18"/>
      <w:szCs w:val="18"/>
    </w:rPr>
  </w:style>
  <w:style w:type="character" w:customStyle="1" w:styleId="25">
    <w:name w:val="批注文字 字符"/>
    <w:basedOn w:val="19"/>
    <w:link w:val="7"/>
    <w:autoRedefine/>
    <w:qFormat/>
    <w:uiPriority w:val="0"/>
    <w:rPr>
      <w:rFonts w:asciiTheme="minorHAnsi" w:hAnsiTheme="minorHAnsi" w:eastAsiaTheme="minorEastAsia" w:cstheme="minorBidi"/>
      <w:kern w:val="2"/>
      <w:sz w:val="21"/>
      <w:szCs w:val="22"/>
    </w:rPr>
  </w:style>
  <w:style w:type="character" w:customStyle="1" w:styleId="26">
    <w:name w:val="批注主题 字符"/>
    <w:basedOn w:val="25"/>
    <w:link w:val="16"/>
    <w:autoRedefine/>
    <w:qFormat/>
    <w:uiPriority w:val="0"/>
    <w:rPr>
      <w:rFonts w:asciiTheme="minorHAnsi" w:hAnsiTheme="minorHAnsi" w:eastAsiaTheme="minorEastAsia" w:cstheme="minorBidi"/>
      <w:b/>
      <w:bCs/>
      <w:kern w:val="2"/>
      <w:sz w:val="21"/>
      <w:szCs w:val="22"/>
    </w:rPr>
  </w:style>
  <w:style w:type="paragraph" w:customStyle="1" w:styleId="27">
    <w:name w:val="修订1"/>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8">
    <w:name w:val="修订2"/>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修订3"/>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0">
    <w:name w:val="修订4"/>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1">
    <w:name w:val="修订5"/>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2">
    <w:name w:val="修订6"/>
    <w:autoRedefine/>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3">
    <w:name w:val="页脚 字符"/>
    <w:basedOn w:val="19"/>
    <w:link w:val="11"/>
    <w:autoRedefine/>
    <w:qFormat/>
    <w:uiPriority w:val="99"/>
    <w:rPr>
      <w:rFonts w:asciiTheme="minorHAnsi" w:hAnsiTheme="minorHAnsi" w:eastAsiaTheme="minorEastAsia" w:cstheme="minorBidi"/>
      <w:kern w:val="2"/>
      <w:sz w:val="18"/>
      <w:szCs w:val="22"/>
    </w:rPr>
  </w:style>
  <w:style w:type="paragraph" w:customStyle="1" w:styleId="34">
    <w:name w:val="浅色网格 - 着色 3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2889</Words>
  <Characters>2944</Characters>
  <Lines>47</Lines>
  <Paragraphs>13</Paragraphs>
  <TotalTime>26</TotalTime>
  <ScaleCrop>false</ScaleCrop>
  <LinksUpToDate>false</LinksUpToDate>
  <CharactersWithSpaces>3014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2024-02-27T07:35:00Z</dcterms:created>
  <dc:creator>王坤</dc:creator>
  <cp:lastModifiedBy>张佳慧</cp:lastModifiedBy>
  <dcterms:modified xsi:type="dcterms:W3CDTF">2025-04-28T02:22:54Z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7C38438928D74660A89D6F1A3D539415_13</vt:lpwstr>
  </property>
  <property fmtid="{D5CDD505-2E9C-101B-9397-08002B2CF9AE}" pid="4" name="KSOTemplateDocerSaveRecord">
    <vt:lpwstr>eyJoZGlkIjoiOGIxYjMxNTI1MmNkY2EwM2UyYWQyMzAzYWJiY2MzYWYiLCJ1c2VySWQiOiIxNTgwNTM4MzMxIn0=</vt:lpwstr>
  </property>
</Properties>
</file>